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9D9B" w14:textId="4D592FAD" w:rsidR="00473DE3" w:rsidRDefault="00473DE3" w:rsidP="00473DE3">
      <w:pPr>
        <w:pStyle w:val="Heading1"/>
      </w:pPr>
      <w:r>
        <w:t>Freedom of Information Investigation Outcomes</w:t>
      </w:r>
    </w:p>
    <w:p w14:paraId="34CE1A65" w14:textId="48998DDB" w:rsidR="00473DE3" w:rsidRPr="00B96DFD" w:rsidRDefault="00473DE3" w:rsidP="00473DE3">
      <w:r>
        <w:t>U</w:t>
      </w:r>
      <w:r w:rsidRPr="00B96DFD">
        <w:t>nder Part VIIB of the FOI</w:t>
      </w:r>
      <w:r>
        <w:t> </w:t>
      </w:r>
      <w:r w:rsidRPr="00B96DFD">
        <w:t>Act</w:t>
      </w:r>
      <w:r>
        <w:t>, t</w:t>
      </w:r>
      <w:r w:rsidRPr="00B96DFD">
        <w:t xml:space="preserve">he Information Commissioner can investigate </w:t>
      </w:r>
      <w:r>
        <w:t>an action taken by an agency in the performance of its functions or the exercise of powers under the FOI Act.</w:t>
      </w:r>
      <w:r w:rsidRPr="00B96DFD">
        <w:t xml:space="preserve"> This involves investigating complaints</w:t>
      </w:r>
      <w:r>
        <w:t xml:space="preserve"> (s 69(1)),</w:t>
      </w:r>
      <w:r w:rsidRPr="00B96DFD">
        <w:t xml:space="preserve"> as well as conducting investigations </w:t>
      </w:r>
      <w:r>
        <w:t xml:space="preserve">at the Commissioner’s own initiative </w:t>
      </w:r>
      <w:r w:rsidRPr="00B96DFD">
        <w:t>(Commissioner initiat</w:t>
      </w:r>
      <w:r>
        <w:t>ed investigations (CIIs)</w:t>
      </w:r>
      <w:r w:rsidRPr="00B96DFD">
        <w:t>) (s 69(</w:t>
      </w:r>
      <w:r>
        <w:t>2</w:t>
      </w:r>
      <w:r w:rsidRPr="00B96DFD">
        <w:t>)).</w:t>
      </w:r>
    </w:p>
    <w:p w14:paraId="539766AF" w14:textId="2E92DB00" w:rsidR="00473DE3" w:rsidRDefault="00473DE3" w:rsidP="00473DE3">
      <w:r w:rsidRPr="00473DE3">
        <w:t>On completing an investigation, the Information Commissioner must provide a ‘notice on completion’ to the agency and to the complainant (if there is one) (s 86). The Information Commissioner’s notice on completion must include the investigation results, the investigation recommendations (if any), and the reasons for those results and any recommendations (s 86(2)). A notice on completion must not include exempt matter or information about the existence or non-existence of a document that would be exempt under</w:t>
      </w:r>
      <w:r w:rsidRPr="00433F2C">
        <w:t xml:space="preserve"> s</w:t>
      </w:r>
      <w:r>
        <w:t>s </w:t>
      </w:r>
      <w:r w:rsidRPr="00433F2C">
        <w:t>33, 37(1) or 45A (ss</w:t>
      </w:r>
      <w:r>
        <w:t> </w:t>
      </w:r>
      <w:r w:rsidRPr="00433F2C">
        <w:t>89C and 25(1)).</w:t>
      </w:r>
    </w:p>
    <w:p w14:paraId="52E866F7" w14:textId="1EC7AF4B" w:rsidR="00623589" w:rsidRDefault="00623589" w:rsidP="00473DE3">
      <w:r>
        <w:t>If recommendations have been made (s 88), and</w:t>
      </w:r>
      <w:r w:rsidRPr="00623589">
        <w:t xml:space="preserve"> the Information Commissioner is not satisfied that the agency has taken adequate and appropriate action to implement a formal recommendation, the Information Commissioner may issue a written ‘implementation notice’ requiring the agency to provide within a specified time particulars of any action the agency will take to implement the Information Commissioner’s recommendations (s 89).</w:t>
      </w:r>
    </w:p>
    <w:p w14:paraId="1BC20351" w14:textId="2B673FFF" w:rsidR="00473DE3" w:rsidRDefault="00623589">
      <w:r w:rsidRPr="00623589">
        <w:t>The Information Commissioner may subsequently report to the minister responsible for the agency and the minister responsible for the FOI Act if the Information Commissioner is not satisfied that the agency has taken adequate and appropriate action to implement the recommendations or has not responded to the implementation notice within the specified time (s 89A). The minister responsible for the FOI Act must table the report before each House of the Parliament (s 89A(5)).</w:t>
      </w:r>
    </w:p>
    <w:p w14:paraId="330EED7C" w14:textId="77777777" w:rsidR="00623589" w:rsidRDefault="00623589"/>
    <w:tbl>
      <w:tblPr>
        <w:tblStyle w:val="OAICTable"/>
        <w:tblW w:w="21263" w:type="dxa"/>
        <w:tblInd w:w="-709" w:type="dxa"/>
        <w:tblLayout w:type="fixed"/>
        <w:tblLook w:val="04A0" w:firstRow="1" w:lastRow="0" w:firstColumn="1" w:lastColumn="0" w:noHBand="0" w:noVBand="1"/>
      </w:tblPr>
      <w:tblGrid>
        <w:gridCol w:w="1888"/>
        <w:gridCol w:w="2223"/>
        <w:gridCol w:w="1352"/>
        <w:gridCol w:w="1483"/>
        <w:gridCol w:w="4395"/>
        <w:gridCol w:w="5811"/>
        <w:gridCol w:w="2127"/>
        <w:gridCol w:w="1984"/>
      </w:tblGrid>
      <w:tr w:rsidR="00623589" w14:paraId="107E6629" w14:textId="3A293243" w:rsidTr="0086062E">
        <w:trPr>
          <w:cnfStyle w:val="100000000000" w:firstRow="1" w:lastRow="0" w:firstColumn="0" w:lastColumn="0" w:oddVBand="0" w:evenVBand="0" w:oddHBand="0" w:evenHBand="0" w:firstRowFirstColumn="0" w:firstRowLastColumn="0" w:lastRowFirstColumn="0" w:lastRowLastColumn="0"/>
          <w:tblHeader/>
        </w:trPr>
        <w:tc>
          <w:tcPr>
            <w:tcW w:w="1888" w:type="dxa"/>
            <w:vAlign w:val="center"/>
          </w:tcPr>
          <w:p w14:paraId="01B1A8C1" w14:textId="141B9CBD" w:rsidR="00623589" w:rsidRDefault="00623589" w:rsidP="00DC2F89">
            <w:pPr>
              <w:jc w:val="center"/>
            </w:pPr>
            <w:bookmarkStart w:id="0" w:name="_Hlk69374985"/>
            <w:r>
              <w:t>Respondent</w:t>
            </w:r>
            <w:r w:rsidR="00D23FB7">
              <w:t xml:space="preserve"> agency</w:t>
            </w:r>
          </w:p>
        </w:tc>
        <w:tc>
          <w:tcPr>
            <w:tcW w:w="2223" w:type="dxa"/>
            <w:vAlign w:val="center"/>
          </w:tcPr>
          <w:p w14:paraId="17A3AC63" w14:textId="07F6144B" w:rsidR="00623589" w:rsidRDefault="00623589" w:rsidP="00DC2F89">
            <w:pPr>
              <w:jc w:val="center"/>
            </w:pPr>
            <w:r>
              <w:t>Issue</w:t>
            </w:r>
            <w:r w:rsidR="00D23FB7">
              <w:t>(</w:t>
            </w:r>
            <w:r>
              <w:t>s</w:t>
            </w:r>
            <w:r w:rsidR="00D23FB7">
              <w:t>)</w:t>
            </w:r>
          </w:p>
        </w:tc>
        <w:tc>
          <w:tcPr>
            <w:tcW w:w="1352" w:type="dxa"/>
            <w:vAlign w:val="center"/>
          </w:tcPr>
          <w:p w14:paraId="7D191540" w14:textId="77777777" w:rsidR="00623589" w:rsidRDefault="00623589" w:rsidP="00DC2F89">
            <w:pPr>
              <w:jc w:val="center"/>
            </w:pPr>
            <w:r>
              <w:t>Type of FOI request</w:t>
            </w:r>
          </w:p>
        </w:tc>
        <w:tc>
          <w:tcPr>
            <w:tcW w:w="1483" w:type="dxa"/>
            <w:vAlign w:val="center"/>
          </w:tcPr>
          <w:p w14:paraId="46512D70" w14:textId="707C1D48" w:rsidR="00623589" w:rsidRDefault="00623589" w:rsidP="00DC2F89">
            <w:pPr>
              <w:jc w:val="center"/>
            </w:pPr>
            <w:r>
              <w:t>Date of Notice on completion</w:t>
            </w:r>
          </w:p>
        </w:tc>
        <w:tc>
          <w:tcPr>
            <w:tcW w:w="4395" w:type="dxa"/>
            <w:vAlign w:val="center"/>
          </w:tcPr>
          <w:p w14:paraId="3348FED3" w14:textId="77777777" w:rsidR="00623589" w:rsidRDefault="00623589" w:rsidP="00DC2F89">
            <w:pPr>
              <w:jc w:val="center"/>
            </w:pPr>
            <w:r>
              <w:t>Outcome</w:t>
            </w:r>
          </w:p>
        </w:tc>
        <w:tc>
          <w:tcPr>
            <w:tcW w:w="5811" w:type="dxa"/>
            <w:vAlign w:val="center"/>
          </w:tcPr>
          <w:p w14:paraId="1264B607" w14:textId="7FBEA361" w:rsidR="00623589" w:rsidRDefault="00623589" w:rsidP="00DC2F89">
            <w:pPr>
              <w:jc w:val="center"/>
            </w:pPr>
            <w:r>
              <w:t>Recommendations</w:t>
            </w:r>
            <w:r w:rsidR="00CD6527">
              <w:t xml:space="preserve"> or suggestions</w:t>
            </w:r>
          </w:p>
        </w:tc>
        <w:tc>
          <w:tcPr>
            <w:tcW w:w="2127" w:type="dxa"/>
            <w:vAlign w:val="center"/>
          </w:tcPr>
          <w:p w14:paraId="3CA7E80F" w14:textId="71610113" w:rsidR="00623589" w:rsidRDefault="00623589" w:rsidP="00DC2F89">
            <w:pPr>
              <w:jc w:val="center"/>
            </w:pPr>
            <w:r>
              <w:t>Respondent’s response</w:t>
            </w:r>
            <w:r w:rsidR="00F75D7C">
              <w:t xml:space="preserve"> </w:t>
            </w:r>
          </w:p>
        </w:tc>
        <w:tc>
          <w:tcPr>
            <w:tcW w:w="1984" w:type="dxa"/>
            <w:vAlign w:val="center"/>
          </w:tcPr>
          <w:p w14:paraId="5979FDD8" w14:textId="0C55E11E" w:rsidR="00623589" w:rsidRDefault="00623589" w:rsidP="00DC2F89">
            <w:pPr>
              <w:jc w:val="center"/>
            </w:pPr>
            <w:r>
              <w:t>Further action to be taken</w:t>
            </w:r>
          </w:p>
        </w:tc>
      </w:tr>
      <w:bookmarkEnd w:id="0"/>
      <w:tr w:rsidR="00FF43B9" w:rsidRPr="00D94668" w14:paraId="3EBFD471" w14:textId="77777777" w:rsidTr="00975B6E">
        <w:trPr>
          <w:trHeight w:val="917"/>
        </w:trPr>
        <w:tc>
          <w:tcPr>
            <w:tcW w:w="1888" w:type="dxa"/>
          </w:tcPr>
          <w:p w14:paraId="4A2EA37B" w14:textId="4FF81DD1" w:rsidR="00FF43B9" w:rsidRPr="0026668C" w:rsidRDefault="00FF43B9" w:rsidP="00FF43B9">
            <w:pPr>
              <w:rPr>
                <w:bCs/>
                <w:sz w:val="20"/>
                <w:szCs w:val="20"/>
              </w:rPr>
            </w:pPr>
            <w:r w:rsidRPr="00B74CC4">
              <w:rPr>
                <w:bCs/>
                <w:sz w:val="20"/>
                <w:szCs w:val="20"/>
              </w:rPr>
              <w:t xml:space="preserve">Administrative </w:t>
            </w:r>
            <w:r w:rsidR="00CD7C57">
              <w:rPr>
                <w:bCs/>
                <w:sz w:val="20"/>
                <w:szCs w:val="20"/>
              </w:rPr>
              <w:t xml:space="preserve">Review Tribunal (formerly the Administrative Appeals Tribunal) </w:t>
            </w:r>
          </w:p>
        </w:tc>
        <w:tc>
          <w:tcPr>
            <w:tcW w:w="2223" w:type="dxa"/>
            <w:vAlign w:val="center"/>
          </w:tcPr>
          <w:p w14:paraId="289C544F" w14:textId="77777777" w:rsidR="00FF43B9" w:rsidRPr="00B74CC4" w:rsidRDefault="00FF43B9" w:rsidP="00FF43B9">
            <w:pPr>
              <w:rPr>
                <w:b/>
                <w:bCs/>
                <w:color w:val="000000" w:themeColor="text1"/>
                <w:sz w:val="20"/>
                <w:szCs w:val="20"/>
              </w:rPr>
            </w:pPr>
            <w:r w:rsidRPr="00B74CC4">
              <w:rPr>
                <w:bCs/>
                <w:color w:val="000000" w:themeColor="text1"/>
                <w:sz w:val="20"/>
                <w:szCs w:val="20"/>
              </w:rPr>
              <w:t>Whether the Agency complied with statutory timeframes (s 15(5)(b)).</w:t>
            </w:r>
          </w:p>
          <w:p w14:paraId="105B3464" w14:textId="77777777" w:rsidR="00FF43B9" w:rsidRPr="00B74CC4" w:rsidRDefault="00FF43B9" w:rsidP="00FF43B9">
            <w:pPr>
              <w:rPr>
                <w:b/>
                <w:bCs/>
                <w:color w:val="000000" w:themeColor="text1"/>
                <w:sz w:val="20"/>
                <w:szCs w:val="20"/>
              </w:rPr>
            </w:pPr>
            <w:r w:rsidRPr="00B74CC4">
              <w:rPr>
                <w:bCs/>
                <w:color w:val="000000" w:themeColor="text1"/>
                <w:sz w:val="20"/>
                <w:szCs w:val="20"/>
              </w:rPr>
              <w:t>Whether the manner of the Agency’s response was satisfactory.</w:t>
            </w:r>
          </w:p>
          <w:p w14:paraId="15F5A411" w14:textId="77777777" w:rsidR="00FF43B9" w:rsidRPr="00B74CC4" w:rsidRDefault="00FF43B9" w:rsidP="00FF43B9">
            <w:pPr>
              <w:rPr>
                <w:b/>
                <w:bCs/>
                <w:color w:val="000000" w:themeColor="text1"/>
                <w:sz w:val="20"/>
                <w:szCs w:val="20"/>
              </w:rPr>
            </w:pPr>
            <w:r w:rsidRPr="00B74CC4">
              <w:rPr>
                <w:bCs/>
                <w:color w:val="000000" w:themeColor="text1"/>
                <w:sz w:val="20"/>
                <w:szCs w:val="20"/>
              </w:rPr>
              <w:t>Whether there was a delay in the release of material.</w:t>
            </w:r>
          </w:p>
          <w:p w14:paraId="0BA3DB73" w14:textId="77777777" w:rsidR="00FF43B9" w:rsidRPr="00B74CC4" w:rsidRDefault="00FF43B9" w:rsidP="00FF43B9">
            <w:pPr>
              <w:spacing w:after="0" w:line="240" w:lineRule="auto"/>
              <w:contextualSpacing/>
              <w:rPr>
                <w:b/>
                <w:bCs/>
                <w:sz w:val="20"/>
                <w:szCs w:val="20"/>
              </w:rPr>
            </w:pPr>
            <w:r w:rsidRPr="00B74CC4">
              <w:rPr>
                <w:bCs/>
                <w:sz w:val="20"/>
                <w:szCs w:val="20"/>
              </w:rPr>
              <w:t>Whether the manner in which the documents were  released was irregular.</w:t>
            </w:r>
          </w:p>
          <w:p w14:paraId="282671E4" w14:textId="77777777" w:rsidR="00FF43B9" w:rsidRPr="00B74CC4" w:rsidRDefault="00FF43B9" w:rsidP="00FF43B9">
            <w:pPr>
              <w:spacing w:after="0" w:line="240" w:lineRule="auto"/>
              <w:contextualSpacing/>
              <w:rPr>
                <w:b/>
                <w:bCs/>
                <w:sz w:val="20"/>
                <w:szCs w:val="20"/>
              </w:rPr>
            </w:pPr>
          </w:p>
          <w:p w14:paraId="65EC0A9F" w14:textId="77777777" w:rsidR="00FF43B9" w:rsidRPr="00B74CC4" w:rsidRDefault="00FF43B9" w:rsidP="00FF43B9">
            <w:pPr>
              <w:spacing w:after="0" w:line="240" w:lineRule="auto"/>
              <w:contextualSpacing/>
              <w:rPr>
                <w:b/>
                <w:bCs/>
                <w:sz w:val="20"/>
                <w:szCs w:val="20"/>
              </w:rPr>
            </w:pPr>
            <w:r w:rsidRPr="00B74CC4">
              <w:rPr>
                <w:bCs/>
                <w:sz w:val="20"/>
                <w:szCs w:val="20"/>
              </w:rPr>
              <w:t>Whether the released material included the personal information of other people.</w:t>
            </w:r>
          </w:p>
          <w:p w14:paraId="2B606AF3" w14:textId="77777777" w:rsidR="00FF43B9" w:rsidRPr="00B74CC4" w:rsidRDefault="00FF43B9" w:rsidP="00FF43B9">
            <w:pPr>
              <w:spacing w:after="0" w:line="240" w:lineRule="auto"/>
              <w:contextualSpacing/>
              <w:rPr>
                <w:b/>
                <w:bCs/>
                <w:sz w:val="20"/>
                <w:szCs w:val="20"/>
              </w:rPr>
            </w:pPr>
          </w:p>
          <w:p w14:paraId="2CF3C96A" w14:textId="77777777" w:rsidR="00FF43B9" w:rsidRPr="00B74CC4" w:rsidRDefault="00FF43B9" w:rsidP="00FF43B9">
            <w:pPr>
              <w:spacing w:after="0" w:line="240" w:lineRule="auto"/>
              <w:contextualSpacing/>
              <w:rPr>
                <w:b/>
                <w:bCs/>
                <w:sz w:val="20"/>
                <w:szCs w:val="20"/>
              </w:rPr>
            </w:pPr>
            <w:r w:rsidRPr="00B74CC4">
              <w:rPr>
                <w:bCs/>
                <w:sz w:val="20"/>
                <w:szCs w:val="20"/>
              </w:rPr>
              <w:t>Whether the released material included duplicate material</w:t>
            </w:r>
          </w:p>
          <w:p w14:paraId="1F82B8E2" w14:textId="77777777" w:rsidR="00FF43B9" w:rsidRPr="00B74CC4" w:rsidRDefault="00FF43B9" w:rsidP="00FF43B9">
            <w:pPr>
              <w:spacing w:after="0" w:line="240" w:lineRule="auto"/>
              <w:contextualSpacing/>
              <w:rPr>
                <w:b/>
                <w:bCs/>
                <w:sz w:val="20"/>
                <w:szCs w:val="20"/>
              </w:rPr>
            </w:pPr>
          </w:p>
          <w:p w14:paraId="74FB739D" w14:textId="77777777" w:rsidR="00FF43B9" w:rsidRPr="00B74CC4" w:rsidRDefault="00FF43B9" w:rsidP="00FF43B9">
            <w:pPr>
              <w:spacing w:after="0" w:line="240" w:lineRule="auto"/>
              <w:contextualSpacing/>
              <w:rPr>
                <w:b/>
                <w:bCs/>
                <w:sz w:val="20"/>
                <w:szCs w:val="20"/>
              </w:rPr>
            </w:pPr>
            <w:r w:rsidRPr="00B74CC4">
              <w:rPr>
                <w:bCs/>
                <w:sz w:val="20"/>
                <w:szCs w:val="20"/>
              </w:rPr>
              <w:lastRenderedPageBreak/>
              <w:t>Whether documents were missing from the release material.</w:t>
            </w:r>
          </w:p>
          <w:p w14:paraId="6D8F531B" w14:textId="77777777" w:rsidR="00FF43B9" w:rsidRPr="00B74CC4" w:rsidRDefault="00FF43B9" w:rsidP="00FF43B9">
            <w:pPr>
              <w:spacing w:after="0" w:line="240" w:lineRule="auto"/>
              <w:contextualSpacing/>
              <w:rPr>
                <w:b/>
                <w:bCs/>
                <w:sz w:val="20"/>
                <w:szCs w:val="20"/>
              </w:rPr>
            </w:pPr>
          </w:p>
          <w:p w14:paraId="2E74236D" w14:textId="77777777" w:rsidR="00FF43B9" w:rsidRPr="00B74CC4" w:rsidRDefault="00FF43B9" w:rsidP="00FF43B9">
            <w:pPr>
              <w:spacing w:after="0" w:line="240" w:lineRule="auto"/>
              <w:contextualSpacing/>
              <w:rPr>
                <w:b/>
                <w:bCs/>
                <w:sz w:val="20"/>
                <w:szCs w:val="20"/>
              </w:rPr>
            </w:pPr>
            <w:r w:rsidRPr="00B74CC4">
              <w:rPr>
                <w:bCs/>
                <w:sz w:val="20"/>
                <w:szCs w:val="20"/>
              </w:rPr>
              <w:t>Whether the decision contained contradictory statements as to the existence or otherwise of documents which have not been released.</w:t>
            </w:r>
          </w:p>
          <w:p w14:paraId="387FE6BD" w14:textId="77777777" w:rsidR="00FF43B9" w:rsidRPr="00B74CC4" w:rsidRDefault="00FF43B9" w:rsidP="00FF43B9">
            <w:pPr>
              <w:spacing w:after="0" w:line="240" w:lineRule="auto"/>
              <w:contextualSpacing/>
              <w:rPr>
                <w:b/>
                <w:bCs/>
                <w:sz w:val="20"/>
                <w:szCs w:val="20"/>
              </w:rPr>
            </w:pPr>
          </w:p>
          <w:p w14:paraId="1DC3A7D8" w14:textId="77777777" w:rsidR="00FF43B9" w:rsidRPr="00B74CC4" w:rsidRDefault="00FF43B9" w:rsidP="00FF43B9">
            <w:pPr>
              <w:spacing w:after="0" w:line="240" w:lineRule="auto"/>
              <w:contextualSpacing/>
              <w:rPr>
                <w:b/>
                <w:bCs/>
                <w:sz w:val="20"/>
                <w:szCs w:val="20"/>
              </w:rPr>
            </w:pPr>
            <w:r w:rsidRPr="00B74CC4">
              <w:rPr>
                <w:bCs/>
                <w:sz w:val="20"/>
                <w:szCs w:val="20"/>
              </w:rPr>
              <w:t>Whether adequate searches were conducted.</w:t>
            </w:r>
          </w:p>
          <w:p w14:paraId="7A428238" w14:textId="77777777" w:rsidR="00FF43B9" w:rsidRPr="007C5612" w:rsidRDefault="00FF43B9" w:rsidP="00FF43B9">
            <w:pPr>
              <w:spacing w:after="0" w:line="240" w:lineRule="auto"/>
              <w:rPr>
                <w:bCs/>
                <w:sz w:val="20"/>
                <w:szCs w:val="20"/>
              </w:rPr>
            </w:pPr>
          </w:p>
        </w:tc>
        <w:tc>
          <w:tcPr>
            <w:tcW w:w="1352" w:type="dxa"/>
          </w:tcPr>
          <w:p w14:paraId="648A84B2" w14:textId="24346EC6" w:rsidR="00FF43B9" w:rsidRPr="00E029AC" w:rsidRDefault="00FF43B9" w:rsidP="00FF43B9">
            <w:pPr>
              <w:rPr>
                <w:b/>
                <w:sz w:val="20"/>
                <w:szCs w:val="20"/>
              </w:rPr>
            </w:pPr>
            <w:r w:rsidRPr="00B74CC4">
              <w:rPr>
                <w:bCs/>
                <w:sz w:val="20"/>
                <w:szCs w:val="20"/>
              </w:rPr>
              <w:lastRenderedPageBreak/>
              <w:t>Personal</w:t>
            </w:r>
          </w:p>
        </w:tc>
        <w:tc>
          <w:tcPr>
            <w:tcW w:w="1483" w:type="dxa"/>
          </w:tcPr>
          <w:p w14:paraId="31117F4D" w14:textId="3E584867" w:rsidR="00FF43B9" w:rsidRPr="0026668C" w:rsidRDefault="00FF43B9" w:rsidP="00FF43B9">
            <w:pPr>
              <w:rPr>
                <w:bCs/>
                <w:sz w:val="20"/>
                <w:szCs w:val="20"/>
              </w:rPr>
            </w:pPr>
            <w:r w:rsidRPr="00B74CC4">
              <w:rPr>
                <w:bCs/>
                <w:sz w:val="20"/>
                <w:szCs w:val="20"/>
              </w:rPr>
              <w:t>27 June 2024</w:t>
            </w:r>
          </w:p>
        </w:tc>
        <w:tc>
          <w:tcPr>
            <w:tcW w:w="4395" w:type="dxa"/>
          </w:tcPr>
          <w:p w14:paraId="074D7043" w14:textId="6236ACB1" w:rsidR="00FF43B9" w:rsidRPr="0026668C" w:rsidRDefault="003836B6" w:rsidP="00FF43B9">
            <w:pPr>
              <w:rPr>
                <w:bCs/>
                <w:sz w:val="20"/>
                <w:szCs w:val="20"/>
              </w:rPr>
            </w:pPr>
            <w:r w:rsidRPr="00B74CC4">
              <w:rPr>
                <w:bCs/>
                <w:sz w:val="20"/>
                <w:szCs w:val="20"/>
              </w:rPr>
              <w:t>Whil</w:t>
            </w:r>
            <w:r>
              <w:rPr>
                <w:bCs/>
                <w:sz w:val="20"/>
                <w:szCs w:val="20"/>
              </w:rPr>
              <w:t>e</w:t>
            </w:r>
            <w:r w:rsidRPr="00B74CC4">
              <w:rPr>
                <w:bCs/>
                <w:sz w:val="20"/>
                <w:szCs w:val="20"/>
              </w:rPr>
              <w:t xml:space="preserve"> </w:t>
            </w:r>
            <w:r w:rsidR="00FF43B9" w:rsidRPr="00B74CC4">
              <w:rPr>
                <w:bCs/>
                <w:sz w:val="20"/>
                <w:szCs w:val="20"/>
              </w:rPr>
              <w:t xml:space="preserve">the investigation of some issues was outside the Information Commissioner’s jurisdiction with respect to complaint investigations, on balance the complaint was substantiated.  </w:t>
            </w:r>
          </w:p>
        </w:tc>
        <w:tc>
          <w:tcPr>
            <w:tcW w:w="5811" w:type="dxa"/>
          </w:tcPr>
          <w:p w14:paraId="4106B412" w14:textId="77777777" w:rsidR="00FF43B9" w:rsidRPr="00B74CC4" w:rsidRDefault="00FF43B9" w:rsidP="00FF43B9">
            <w:pPr>
              <w:spacing w:after="0"/>
              <w:rPr>
                <w:b/>
                <w:bCs/>
                <w:sz w:val="20"/>
                <w:szCs w:val="20"/>
              </w:rPr>
            </w:pPr>
            <w:r w:rsidRPr="00B74CC4">
              <w:rPr>
                <w:bCs/>
                <w:sz w:val="20"/>
                <w:szCs w:val="20"/>
              </w:rPr>
              <w:t xml:space="preserve">Four recommendations made: </w:t>
            </w:r>
          </w:p>
          <w:p w14:paraId="3936FB9E" w14:textId="77777777" w:rsidR="00FF43B9" w:rsidRPr="00B74CC4" w:rsidRDefault="00FF43B9" w:rsidP="00FF43B9">
            <w:pPr>
              <w:pStyle w:val="ListNumber3"/>
              <w:numPr>
                <w:ilvl w:val="0"/>
                <w:numId w:val="91"/>
              </w:numPr>
              <w:spacing w:after="0" w:line="240" w:lineRule="auto"/>
              <w:rPr>
                <w:b/>
                <w:bCs/>
                <w:sz w:val="20"/>
                <w:szCs w:val="20"/>
              </w:rPr>
            </w:pPr>
            <w:bookmarkStart w:id="1" w:name="_Hlk170224471"/>
            <w:r w:rsidRPr="00B74CC4">
              <w:rPr>
                <w:bCs/>
                <w:sz w:val="20"/>
                <w:szCs w:val="20"/>
              </w:rPr>
              <w:t>The Tribunal provide the complainant with an explanation and an apology for the unsatisfactory handling of their FOI request</w:t>
            </w:r>
          </w:p>
          <w:p w14:paraId="0D5FB784" w14:textId="77777777" w:rsidR="00FF43B9" w:rsidRPr="0026668C" w:rsidRDefault="00FF43B9" w:rsidP="00FF43B9">
            <w:pPr>
              <w:pStyle w:val="ListNumber3"/>
              <w:numPr>
                <w:ilvl w:val="0"/>
                <w:numId w:val="91"/>
              </w:numPr>
              <w:spacing w:after="0" w:line="240" w:lineRule="auto"/>
              <w:rPr>
                <w:b/>
                <w:bCs/>
                <w:sz w:val="20"/>
                <w:szCs w:val="20"/>
              </w:rPr>
            </w:pPr>
            <w:r w:rsidRPr="00B74CC4">
              <w:rPr>
                <w:bCs/>
                <w:sz w:val="20"/>
                <w:szCs w:val="20"/>
              </w:rPr>
              <w:t>T</w:t>
            </w:r>
            <w:r w:rsidRPr="0026668C">
              <w:rPr>
                <w:bCs/>
                <w:sz w:val="20"/>
                <w:szCs w:val="20"/>
              </w:rPr>
              <w:t xml:space="preserve">he Tribunal put into practice and update its formal FOI guidance for staff, to:  </w:t>
            </w:r>
          </w:p>
          <w:p w14:paraId="2C0FF1A3"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provide both a statement of reasons and a schedule of documents to applicants where the request involves numerous documents or complex issues relating to exemptions  </w:t>
            </w:r>
          </w:p>
          <w:p w14:paraId="7AB5B3E8" w14:textId="77777777" w:rsidR="00FF43B9" w:rsidRPr="0026668C" w:rsidRDefault="00FF43B9" w:rsidP="00FF43B9">
            <w:pPr>
              <w:pStyle w:val="ListNumber3"/>
              <w:numPr>
                <w:ilvl w:val="0"/>
                <w:numId w:val="90"/>
              </w:numPr>
              <w:spacing w:after="0" w:line="240" w:lineRule="auto"/>
              <w:rPr>
                <w:b/>
                <w:bCs/>
                <w:sz w:val="20"/>
                <w:szCs w:val="20"/>
              </w:rPr>
            </w:pPr>
            <w:r w:rsidRPr="00B74CC4">
              <w:rPr>
                <w:bCs/>
                <w:sz w:val="20"/>
                <w:szCs w:val="20"/>
              </w:rPr>
              <w:t xml:space="preserve">guidance to enhance the consistency of references </w:t>
            </w:r>
            <w:r w:rsidRPr="0026668C">
              <w:rPr>
                <w:bCs/>
                <w:sz w:val="20"/>
                <w:szCs w:val="20"/>
              </w:rPr>
              <w:t>regarding</w:t>
            </w:r>
            <w:r w:rsidRPr="00B74CC4">
              <w:rPr>
                <w:bCs/>
                <w:sz w:val="20"/>
                <w:szCs w:val="20"/>
              </w:rPr>
              <w:t xml:space="preserve"> document types in decision letters </w:t>
            </w:r>
          </w:p>
          <w:p w14:paraId="27C3C63E"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effect the prompt release of documents following an access decision </w:t>
            </w:r>
          </w:p>
          <w:p w14:paraId="1C98EED9"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put in place a checking system to ensure prompt notification and rectification of any error messages/failed delivery messages </w:t>
            </w:r>
          </w:p>
          <w:p w14:paraId="320FC8C2"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notify applicants of the total number of emails to be sent and confirm receipt when sending multiple emails to applicants </w:t>
            </w:r>
          </w:p>
          <w:p w14:paraId="229590B9"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facilitate and undertake an early assessment of the material and determine whether an extension of time is </w:t>
            </w:r>
            <w:r w:rsidRPr="0026668C">
              <w:rPr>
                <w:bCs/>
                <w:sz w:val="20"/>
                <w:szCs w:val="20"/>
              </w:rPr>
              <w:lastRenderedPageBreak/>
              <w:t>required where there is substantial material to be considered</w:t>
            </w:r>
          </w:p>
          <w:p w14:paraId="5EDDBF4E"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put in place a peer review system of secondary checking of access decisions and documents prior to release </w:t>
            </w:r>
          </w:p>
          <w:p w14:paraId="7C00F2B7"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highlight the privacy issues raised in this matter in the FOI procedures and when training FOI office</w:t>
            </w:r>
          </w:p>
          <w:p w14:paraId="4B6C5F73" w14:textId="77777777" w:rsidR="00FF43B9" w:rsidRPr="0026668C" w:rsidRDefault="00FF43B9" w:rsidP="00FF43B9">
            <w:pPr>
              <w:pStyle w:val="ListNumber3"/>
              <w:numPr>
                <w:ilvl w:val="0"/>
                <w:numId w:val="90"/>
              </w:numPr>
              <w:spacing w:after="0" w:line="240" w:lineRule="auto"/>
              <w:rPr>
                <w:b/>
                <w:bCs/>
                <w:sz w:val="20"/>
                <w:szCs w:val="20"/>
              </w:rPr>
            </w:pPr>
            <w:r w:rsidRPr="0026668C">
              <w:rPr>
                <w:bCs/>
                <w:sz w:val="20"/>
                <w:szCs w:val="20"/>
              </w:rPr>
              <w:t xml:space="preserve">undertake reasonable searches for documents and conduct searches of the ‘N’ drive as a matter of course and consider using ‘wildcards’ when searching in appropriate cases. </w:t>
            </w:r>
          </w:p>
          <w:p w14:paraId="17969A1E" w14:textId="77777777" w:rsidR="00FF43B9" w:rsidRPr="00B74CC4" w:rsidRDefault="00FF43B9" w:rsidP="00FF43B9">
            <w:pPr>
              <w:pStyle w:val="ListNumber3"/>
              <w:numPr>
                <w:ilvl w:val="0"/>
                <w:numId w:val="91"/>
              </w:numPr>
              <w:spacing w:after="0" w:line="240" w:lineRule="auto"/>
              <w:rPr>
                <w:b/>
                <w:bCs/>
                <w:sz w:val="20"/>
                <w:szCs w:val="20"/>
              </w:rPr>
            </w:pPr>
            <w:r w:rsidRPr="00B74CC4">
              <w:rPr>
                <w:bCs/>
                <w:sz w:val="20"/>
                <w:szCs w:val="20"/>
              </w:rPr>
              <w:t xml:space="preserve">The Tribunal provide training to staff on the updated practices and corresponding amendments to its formal FOI guidance, as described above. </w:t>
            </w:r>
          </w:p>
          <w:p w14:paraId="07A3347D" w14:textId="77777777" w:rsidR="00FF43B9" w:rsidRPr="00B74CC4" w:rsidRDefault="00FF43B9" w:rsidP="00FF43B9">
            <w:pPr>
              <w:pStyle w:val="ListNumber3"/>
              <w:numPr>
                <w:ilvl w:val="0"/>
                <w:numId w:val="91"/>
              </w:numPr>
              <w:spacing w:after="0" w:line="240" w:lineRule="auto"/>
              <w:rPr>
                <w:b/>
                <w:bCs/>
                <w:sz w:val="20"/>
                <w:szCs w:val="20"/>
              </w:rPr>
            </w:pPr>
            <w:r w:rsidRPr="00B74CC4">
              <w:rPr>
                <w:bCs/>
                <w:sz w:val="20"/>
                <w:szCs w:val="20"/>
              </w:rPr>
              <w:t>The Tribunal provided the OAIC with:</w:t>
            </w:r>
          </w:p>
          <w:p w14:paraId="1B214CBF" w14:textId="77777777" w:rsidR="00FF43B9" w:rsidRPr="00B74CC4" w:rsidRDefault="00FF43B9" w:rsidP="00FF43B9">
            <w:pPr>
              <w:pStyle w:val="ListNumber3"/>
              <w:numPr>
                <w:ilvl w:val="0"/>
                <w:numId w:val="89"/>
              </w:numPr>
              <w:spacing w:before="0" w:after="0" w:line="240" w:lineRule="auto"/>
              <w:rPr>
                <w:b/>
                <w:bCs/>
                <w:sz w:val="20"/>
                <w:szCs w:val="20"/>
              </w:rPr>
            </w:pPr>
            <w:r w:rsidRPr="00B74CC4">
              <w:rPr>
                <w:bCs/>
                <w:sz w:val="20"/>
                <w:szCs w:val="20"/>
              </w:rPr>
              <w:t xml:space="preserve">a copy of its updated FOI guidance, and </w:t>
            </w:r>
          </w:p>
          <w:p w14:paraId="6789EABD" w14:textId="77777777" w:rsidR="00FF43B9" w:rsidRPr="00B74CC4" w:rsidRDefault="00FF43B9" w:rsidP="00FF43B9">
            <w:pPr>
              <w:pStyle w:val="ListNumber3"/>
              <w:numPr>
                <w:ilvl w:val="0"/>
                <w:numId w:val="89"/>
              </w:numPr>
              <w:spacing w:before="0" w:line="240" w:lineRule="auto"/>
              <w:rPr>
                <w:b/>
                <w:bCs/>
                <w:sz w:val="20"/>
                <w:szCs w:val="20"/>
              </w:rPr>
            </w:pPr>
            <w:r w:rsidRPr="00B74CC4">
              <w:rPr>
                <w:bCs/>
                <w:sz w:val="20"/>
                <w:szCs w:val="20"/>
              </w:rPr>
              <w:t>confirmation that an apology has been provided to the complainant.</w:t>
            </w:r>
          </w:p>
          <w:bookmarkEnd w:id="1"/>
          <w:p w14:paraId="30FF4D12" w14:textId="77777777" w:rsidR="00FF43B9" w:rsidRPr="0026668C" w:rsidRDefault="00FF43B9" w:rsidP="00FF43B9">
            <w:pPr>
              <w:pStyle w:val="Heading2"/>
              <w:spacing w:after="0" w:line="240" w:lineRule="auto"/>
              <w:rPr>
                <w:rFonts w:asciiTheme="minorHAnsi" w:eastAsiaTheme="minorHAnsi" w:hAnsiTheme="minorHAnsi"/>
                <w:b/>
                <w:bCs/>
                <w:color w:val="auto"/>
                <w:spacing w:val="0"/>
                <w:sz w:val="20"/>
                <w:szCs w:val="20"/>
              </w:rPr>
            </w:pPr>
            <w:r w:rsidRPr="0026668C">
              <w:rPr>
                <w:rFonts w:asciiTheme="minorHAnsi" w:eastAsiaTheme="minorHAnsi" w:hAnsiTheme="minorHAnsi"/>
                <w:bCs/>
                <w:color w:val="auto"/>
                <w:spacing w:val="0"/>
                <w:sz w:val="20"/>
                <w:szCs w:val="20"/>
              </w:rPr>
              <w:t>One suggestion made:</w:t>
            </w:r>
          </w:p>
          <w:p w14:paraId="40D87229" w14:textId="4D3C8168" w:rsidR="00FF43B9" w:rsidRPr="0026668C" w:rsidRDefault="00FF43B9" w:rsidP="00FF43B9">
            <w:pPr>
              <w:rPr>
                <w:bCs/>
                <w:sz w:val="20"/>
                <w:szCs w:val="20"/>
              </w:rPr>
            </w:pPr>
            <w:bookmarkStart w:id="2" w:name="_Hlk170224504"/>
            <w:r>
              <w:rPr>
                <w:bCs/>
                <w:sz w:val="20"/>
                <w:szCs w:val="20"/>
              </w:rPr>
              <w:t>That i</w:t>
            </w:r>
            <w:r w:rsidRPr="00B74CC4">
              <w:rPr>
                <w:bCs/>
                <w:sz w:val="20"/>
                <w:szCs w:val="20"/>
              </w:rPr>
              <w:t xml:space="preserve">n the redevelopment of its case management system the Tribunal consider options with respect to the automated generation of schedule content and reduction in duplication. </w:t>
            </w:r>
            <w:bookmarkEnd w:id="2"/>
          </w:p>
        </w:tc>
        <w:tc>
          <w:tcPr>
            <w:tcW w:w="2127" w:type="dxa"/>
          </w:tcPr>
          <w:p w14:paraId="4AA07519" w14:textId="182DFB84" w:rsidR="00FF43B9" w:rsidRPr="0026668C" w:rsidRDefault="003B131D" w:rsidP="00FF43B9">
            <w:pPr>
              <w:rPr>
                <w:bCs/>
                <w:sz w:val="20"/>
                <w:szCs w:val="20"/>
              </w:rPr>
            </w:pPr>
            <w:r>
              <w:rPr>
                <w:bCs/>
                <w:sz w:val="20"/>
                <w:szCs w:val="20"/>
              </w:rPr>
              <w:lastRenderedPageBreak/>
              <w:t xml:space="preserve">Recommendations </w:t>
            </w:r>
            <w:r w:rsidR="003A59A6">
              <w:rPr>
                <w:bCs/>
                <w:sz w:val="20"/>
                <w:szCs w:val="20"/>
              </w:rPr>
              <w:t xml:space="preserve">1, 2 (ii)-(vi), (viii) and (ix) </w:t>
            </w:r>
            <w:r>
              <w:rPr>
                <w:bCs/>
                <w:sz w:val="20"/>
                <w:szCs w:val="20"/>
              </w:rPr>
              <w:t>implemented.</w:t>
            </w:r>
          </w:p>
        </w:tc>
        <w:tc>
          <w:tcPr>
            <w:tcW w:w="1984" w:type="dxa"/>
          </w:tcPr>
          <w:p w14:paraId="08B910A2" w14:textId="492D1915" w:rsidR="00FF43B9" w:rsidRPr="0026668C" w:rsidRDefault="009147E1" w:rsidP="00FF43B9">
            <w:pPr>
              <w:rPr>
                <w:bCs/>
                <w:sz w:val="20"/>
                <w:szCs w:val="20"/>
              </w:rPr>
            </w:pPr>
            <w:r>
              <w:rPr>
                <w:bCs/>
                <w:sz w:val="20"/>
                <w:szCs w:val="20"/>
              </w:rPr>
              <w:t>No further action</w:t>
            </w:r>
          </w:p>
        </w:tc>
      </w:tr>
      <w:tr w:rsidR="00FF43B9" w:rsidRPr="00D94668" w14:paraId="54E1AB25" w14:textId="77777777" w:rsidTr="00E029AC">
        <w:trPr>
          <w:trHeight w:val="917"/>
        </w:trPr>
        <w:tc>
          <w:tcPr>
            <w:tcW w:w="0" w:type="dxa"/>
          </w:tcPr>
          <w:p w14:paraId="45EE9E9D" w14:textId="64728332" w:rsidR="00FF43B9" w:rsidRDefault="00FF43B9" w:rsidP="00FF43B9">
            <w:pPr>
              <w:rPr>
                <w:color w:val="000000" w:themeColor="text1"/>
                <w:sz w:val="20"/>
                <w:szCs w:val="20"/>
              </w:rPr>
            </w:pPr>
            <w:r w:rsidRPr="0026668C">
              <w:rPr>
                <w:bCs/>
                <w:sz w:val="20"/>
                <w:szCs w:val="20"/>
              </w:rPr>
              <w:t>Comcare</w:t>
            </w:r>
          </w:p>
        </w:tc>
        <w:tc>
          <w:tcPr>
            <w:tcW w:w="0" w:type="dxa"/>
            <w:vAlign w:val="center"/>
          </w:tcPr>
          <w:p w14:paraId="019CBFDF" w14:textId="77777777" w:rsidR="00FF43B9" w:rsidRPr="007C5612" w:rsidRDefault="00FF43B9" w:rsidP="00FF43B9">
            <w:pPr>
              <w:spacing w:after="0" w:line="240" w:lineRule="auto"/>
              <w:rPr>
                <w:b/>
                <w:bCs/>
                <w:sz w:val="20"/>
                <w:szCs w:val="20"/>
              </w:rPr>
            </w:pPr>
            <w:r w:rsidRPr="007C5612">
              <w:rPr>
                <w:bCs/>
                <w:sz w:val="20"/>
                <w:szCs w:val="20"/>
              </w:rPr>
              <w:t xml:space="preserve">Whether the Agency was delayed in making the decision </w:t>
            </w:r>
          </w:p>
          <w:p w14:paraId="7579883A" w14:textId="77777777" w:rsidR="00FF43B9" w:rsidRPr="007C5612" w:rsidRDefault="00FF43B9" w:rsidP="00FF43B9">
            <w:pPr>
              <w:spacing w:after="0" w:line="240" w:lineRule="auto"/>
              <w:rPr>
                <w:b/>
                <w:bCs/>
                <w:sz w:val="20"/>
                <w:szCs w:val="20"/>
              </w:rPr>
            </w:pPr>
            <w:r w:rsidRPr="007C5612">
              <w:rPr>
                <w:bCs/>
                <w:sz w:val="20"/>
                <w:szCs w:val="20"/>
              </w:rPr>
              <w:t xml:space="preserve">following the determination that third party consultation under s 27A of the FOI Act was not feasible </w:t>
            </w:r>
          </w:p>
          <w:p w14:paraId="526C1E71" w14:textId="77777777" w:rsidR="00FF43B9" w:rsidRPr="007C5612" w:rsidRDefault="00FF43B9" w:rsidP="00FF43B9">
            <w:pPr>
              <w:spacing w:after="0" w:line="240" w:lineRule="auto"/>
              <w:contextualSpacing/>
              <w:rPr>
                <w:b/>
                <w:bCs/>
                <w:sz w:val="20"/>
                <w:szCs w:val="20"/>
              </w:rPr>
            </w:pPr>
          </w:p>
          <w:p w14:paraId="18D8C6B8" w14:textId="77777777" w:rsidR="00FF43B9" w:rsidRPr="007C5612" w:rsidRDefault="00FF43B9" w:rsidP="00FF43B9">
            <w:pPr>
              <w:spacing w:after="0" w:line="240" w:lineRule="auto"/>
              <w:rPr>
                <w:b/>
                <w:bCs/>
                <w:sz w:val="20"/>
                <w:szCs w:val="20"/>
              </w:rPr>
            </w:pPr>
            <w:r w:rsidRPr="007C5612">
              <w:rPr>
                <w:bCs/>
                <w:sz w:val="20"/>
                <w:szCs w:val="20"/>
              </w:rPr>
              <w:t>Whether the Agency failed to adequately address the complainant’s correspondence.</w:t>
            </w:r>
          </w:p>
          <w:p w14:paraId="4F4C4960" w14:textId="77777777" w:rsidR="00FF43B9" w:rsidRPr="007C5612" w:rsidRDefault="00FF43B9" w:rsidP="00FF43B9">
            <w:pPr>
              <w:spacing w:after="0" w:line="240" w:lineRule="auto"/>
              <w:contextualSpacing/>
              <w:rPr>
                <w:b/>
                <w:bCs/>
                <w:sz w:val="20"/>
                <w:szCs w:val="20"/>
              </w:rPr>
            </w:pPr>
          </w:p>
          <w:p w14:paraId="6E47B9C2" w14:textId="3CA7BB1F" w:rsidR="00FF43B9" w:rsidRDefault="00FF43B9" w:rsidP="00FF43B9">
            <w:pPr>
              <w:rPr>
                <w:color w:val="000000" w:themeColor="text1"/>
                <w:sz w:val="20"/>
                <w:szCs w:val="20"/>
              </w:rPr>
            </w:pPr>
            <w:r w:rsidRPr="007C5612">
              <w:rPr>
                <w:bCs/>
                <w:sz w:val="20"/>
                <w:szCs w:val="20"/>
              </w:rPr>
              <w:t xml:space="preserve">Whether the Agency incorrectly changed the date of the FOI request. </w:t>
            </w:r>
          </w:p>
        </w:tc>
        <w:tc>
          <w:tcPr>
            <w:tcW w:w="0" w:type="dxa"/>
          </w:tcPr>
          <w:p w14:paraId="50AE47AE" w14:textId="029F5AFC" w:rsidR="00FF43B9" w:rsidRDefault="00FF43B9" w:rsidP="00FF43B9">
            <w:pPr>
              <w:rPr>
                <w:color w:val="000000" w:themeColor="text1"/>
                <w:sz w:val="20"/>
                <w:szCs w:val="20"/>
              </w:rPr>
            </w:pPr>
            <w:r w:rsidRPr="0026668C">
              <w:rPr>
                <w:bCs/>
                <w:sz w:val="20"/>
                <w:szCs w:val="20"/>
              </w:rPr>
              <w:t>Personal</w:t>
            </w:r>
          </w:p>
        </w:tc>
        <w:tc>
          <w:tcPr>
            <w:tcW w:w="0" w:type="dxa"/>
          </w:tcPr>
          <w:p w14:paraId="4900AFF5" w14:textId="77B24481" w:rsidR="00FF43B9" w:rsidRDefault="00FF43B9" w:rsidP="00FF43B9">
            <w:pPr>
              <w:rPr>
                <w:color w:val="000000" w:themeColor="text1"/>
                <w:sz w:val="20"/>
                <w:szCs w:val="20"/>
              </w:rPr>
            </w:pPr>
            <w:r w:rsidRPr="0026668C">
              <w:rPr>
                <w:bCs/>
                <w:sz w:val="20"/>
                <w:szCs w:val="20"/>
              </w:rPr>
              <w:t>20 June 2024</w:t>
            </w:r>
          </w:p>
        </w:tc>
        <w:tc>
          <w:tcPr>
            <w:tcW w:w="0" w:type="dxa"/>
          </w:tcPr>
          <w:p w14:paraId="3A6B2A5D" w14:textId="69B18952" w:rsidR="00FF43B9" w:rsidRDefault="00FF43B9" w:rsidP="00FF43B9">
            <w:pPr>
              <w:rPr>
                <w:color w:val="000000" w:themeColor="text1"/>
                <w:sz w:val="20"/>
                <w:szCs w:val="20"/>
              </w:rPr>
            </w:pPr>
            <w:r w:rsidRPr="0026668C">
              <w:rPr>
                <w:bCs/>
                <w:sz w:val="20"/>
                <w:szCs w:val="20"/>
              </w:rPr>
              <w:t>The complaint was substantiated with respect to Issues 1 and 3.</w:t>
            </w:r>
          </w:p>
        </w:tc>
        <w:tc>
          <w:tcPr>
            <w:tcW w:w="0" w:type="dxa"/>
          </w:tcPr>
          <w:p w14:paraId="427ACD7E" w14:textId="77777777" w:rsidR="00FF43B9" w:rsidRPr="0026668C" w:rsidRDefault="00FF43B9" w:rsidP="00FF43B9">
            <w:pPr>
              <w:rPr>
                <w:b/>
                <w:bCs/>
                <w:sz w:val="20"/>
                <w:szCs w:val="20"/>
              </w:rPr>
            </w:pPr>
            <w:r w:rsidRPr="0026668C">
              <w:rPr>
                <w:bCs/>
                <w:sz w:val="20"/>
                <w:szCs w:val="20"/>
              </w:rPr>
              <w:t>Two suggestions made:</w:t>
            </w:r>
          </w:p>
          <w:p w14:paraId="7C2A20C1" w14:textId="77777777" w:rsidR="00FF43B9" w:rsidRPr="0026668C" w:rsidRDefault="00FF43B9" w:rsidP="00FF43B9">
            <w:pPr>
              <w:numPr>
                <w:ilvl w:val="0"/>
                <w:numId w:val="88"/>
              </w:numPr>
              <w:tabs>
                <w:tab w:val="left" w:pos="323"/>
              </w:tabs>
              <w:kinsoku w:val="0"/>
              <w:overflowPunct w:val="0"/>
              <w:autoSpaceDE w:val="0"/>
              <w:autoSpaceDN w:val="0"/>
              <w:adjustRightInd w:val="0"/>
              <w:spacing w:after="0" w:line="240" w:lineRule="auto"/>
              <w:ind w:left="323" w:right="98" w:hanging="284"/>
              <w:rPr>
                <w:rFonts w:eastAsiaTheme="minorEastAsia" w:cs="Calibri"/>
                <w:b/>
                <w:bCs/>
                <w:w w:val="105"/>
                <w:sz w:val="20"/>
                <w:szCs w:val="20"/>
                <w:lang w:eastAsia="ko-KR"/>
              </w:rPr>
            </w:pPr>
            <w:bookmarkStart w:id="3" w:name="Considerations"/>
            <w:bookmarkEnd w:id="3"/>
            <w:r w:rsidRPr="0026668C">
              <w:rPr>
                <w:rFonts w:eastAsiaTheme="minorEastAsia" w:cs="Calibri"/>
                <w:bCs/>
                <w:w w:val="105"/>
                <w:sz w:val="20"/>
                <w:szCs w:val="20"/>
                <w:lang w:eastAsia="ko-KR"/>
              </w:rPr>
              <w:t>the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Agency</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amend</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its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FOI</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Procedure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Manual</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at Part 13</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‘Making</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a decision’</w:t>
            </w:r>
            <w:r w:rsidRPr="0026668C">
              <w:rPr>
                <w:rFonts w:eastAsiaTheme="minorEastAsia" w:cs="Calibri"/>
                <w:bCs/>
                <w:spacing w:val="8"/>
                <w:w w:val="105"/>
                <w:sz w:val="20"/>
                <w:szCs w:val="20"/>
                <w:lang w:eastAsia="ko-KR"/>
              </w:rPr>
              <w:t xml:space="preserve"> </w:t>
            </w:r>
            <w:r w:rsidRPr="0026668C">
              <w:rPr>
                <w:rFonts w:eastAsiaTheme="minorEastAsia" w:cs="Calibri"/>
                <w:bCs/>
                <w:w w:val="105"/>
                <w:sz w:val="20"/>
                <w:szCs w:val="20"/>
                <w:lang w:eastAsia="ko-KR"/>
              </w:rPr>
              <w:t>to</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include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a</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requirement</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for</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the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Agency’s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decision</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makers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to</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act</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in good</w:t>
            </w:r>
            <w:r w:rsidRPr="0026668C">
              <w:rPr>
                <w:rFonts w:eastAsiaTheme="minorEastAsia" w:cs="Calibri"/>
                <w:bCs/>
                <w:spacing w:val="10"/>
                <w:w w:val="105"/>
                <w:sz w:val="20"/>
                <w:szCs w:val="20"/>
                <w:lang w:eastAsia="ko-KR"/>
              </w:rPr>
              <w:t xml:space="preserve"> </w:t>
            </w:r>
            <w:r w:rsidRPr="0026668C">
              <w:rPr>
                <w:rFonts w:eastAsiaTheme="minorEastAsia" w:cs="Calibri"/>
                <w:bCs/>
                <w:w w:val="105"/>
                <w:sz w:val="20"/>
                <w:szCs w:val="20"/>
                <w:lang w:eastAsia="ko-KR"/>
              </w:rPr>
              <w:t>faith</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and apply best</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practice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to</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provide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applicants with</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access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to</w:t>
            </w:r>
            <w:r w:rsidRPr="0026668C">
              <w:rPr>
                <w:rFonts w:eastAsiaTheme="minorEastAsia" w:cs="Calibri"/>
                <w:bCs/>
                <w:spacing w:val="9"/>
                <w:w w:val="105"/>
                <w:sz w:val="20"/>
                <w:szCs w:val="20"/>
                <w:lang w:eastAsia="ko-KR"/>
              </w:rPr>
              <w:t xml:space="preserve"> </w:t>
            </w:r>
            <w:r w:rsidRPr="0026668C">
              <w:rPr>
                <w:rFonts w:eastAsiaTheme="minorEastAsia" w:cs="Calibri"/>
                <w:bCs/>
                <w:w w:val="105"/>
                <w:sz w:val="20"/>
                <w:szCs w:val="20"/>
                <w:lang w:eastAsia="ko-KR"/>
              </w:rPr>
              <w:t>information</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promptly</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within</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the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statutory</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timeframe,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in</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keeping</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with the</w:t>
            </w:r>
            <w:r w:rsidRPr="0026668C">
              <w:rPr>
                <w:rFonts w:eastAsiaTheme="minorEastAsia" w:cs="Calibri"/>
                <w:bCs/>
                <w:spacing w:val="9"/>
                <w:w w:val="105"/>
                <w:sz w:val="20"/>
                <w:szCs w:val="20"/>
                <w:lang w:eastAsia="ko-KR"/>
              </w:rPr>
              <w:t xml:space="preserve"> </w:t>
            </w:r>
            <w:r w:rsidRPr="0026668C">
              <w:rPr>
                <w:rFonts w:eastAsiaTheme="minorEastAsia" w:cs="Calibri"/>
                <w:bCs/>
                <w:w w:val="105"/>
                <w:sz w:val="20"/>
                <w:szCs w:val="20"/>
                <w:lang w:eastAsia="ko-KR"/>
              </w:rPr>
              <w:t>objects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of</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the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FOI Act</w:t>
            </w:r>
            <w:r w:rsidRPr="0026668C">
              <w:rPr>
                <w:rFonts w:eastAsiaTheme="minorEastAsia" w:cs="Calibri"/>
                <w:bCs/>
                <w:spacing w:val="-3"/>
                <w:w w:val="105"/>
                <w:sz w:val="20"/>
                <w:szCs w:val="20"/>
                <w:lang w:eastAsia="ko-KR"/>
              </w:rPr>
              <w:t xml:space="preserve"> </w:t>
            </w:r>
            <w:r w:rsidRPr="0026668C">
              <w:rPr>
                <w:rFonts w:eastAsiaTheme="minorEastAsia" w:cs="Calibri"/>
                <w:bCs/>
                <w:w w:val="105"/>
                <w:sz w:val="20"/>
                <w:szCs w:val="20"/>
                <w:lang w:eastAsia="ko-KR"/>
              </w:rPr>
              <w:t>s 3(4) and FOI</w:t>
            </w:r>
            <w:r w:rsidRPr="0026668C">
              <w:rPr>
                <w:rFonts w:eastAsiaTheme="minorEastAsia" w:cs="Calibri"/>
                <w:bCs/>
                <w:spacing w:val="-2"/>
                <w:w w:val="105"/>
                <w:sz w:val="20"/>
                <w:szCs w:val="20"/>
                <w:lang w:eastAsia="ko-KR"/>
              </w:rPr>
              <w:t xml:space="preserve"> </w:t>
            </w:r>
            <w:r w:rsidRPr="0026668C">
              <w:rPr>
                <w:rFonts w:eastAsiaTheme="minorEastAsia" w:cs="Calibri"/>
                <w:bCs/>
                <w:w w:val="105"/>
                <w:sz w:val="20"/>
                <w:szCs w:val="20"/>
                <w:lang w:eastAsia="ko-KR"/>
              </w:rPr>
              <w:t>Guidelines,</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and</w:t>
            </w:r>
          </w:p>
          <w:p w14:paraId="77377EFA" w14:textId="77777777" w:rsidR="00FF43B9" w:rsidRPr="0026668C" w:rsidRDefault="00FF43B9" w:rsidP="00FF43B9">
            <w:pPr>
              <w:tabs>
                <w:tab w:val="left" w:pos="323"/>
              </w:tabs>
              <w:kinsoku w:val="0"/>
              <w:overflowPunct w:val="0"/>
              <w:autoSpaceDE w:val="0"/>
              <w:autoSpaceDN w:val="0"/>
              <w:adjustRightInd w:val="0"/>
              <w:spacing w:after="0" w:line="240" w:lineRule="auto"/>
              <w:ind w:left="323" w:right="98"/>
              <w:rPr>
                <w:rFonts w:eastAsiaTheme="minorEastAsia" w:cs="Calibri"/>
                <w:b/>
                <w:bCs/>
                <w:w w:val="105"/>
                <w:sz w:val="20"/>
                <w:szCs w:val="20"/>
                <w:lang w:eastAsia="ko-KR"/>
              </w:rPr>
            </w:pPr>
          </w:p>
          <w:p w14:paraId="270F2832" w14:textId="77777777" w:rsidR="00FF43B9" w:rsidRPr="0026668C" w:rsidRDefault="00FF43B9" w:rsidP="00FF43B9">
            <w:pPr>
              <w:numPr>
                <w:ilvl w:val="0"/>
                <w:numId w:val="88"/>
              </w:numPr>
              <w:tabs>
                <w:tab w:val="left" w:pos="321"/>
              </w:tabs>
              <w:kinsoku w:val="0"/>
              <w:overflowPunct w:val="0"/>
              <w:autoSpaceDE w:val="0"/>
              <w:autoSpaceDN w:val="0"/>
              <w:adjustRightInd w:val="0"/>
              <w:spacing w:after="0" w:line="240" w:lineRule="auto"/>
              <w:ind w:left="323" w:right="98" w:hanging="284"/>
              <w:rPr>
                <w:rFonts w:eastAsiaTheme="minorEastAsia" w:cs="Calibri"/>
                <w:b/>
                <w:bCs/>
                <w:w w:val="105"/>
                <w:sz w:val="20"/>
                <w:szCs w:val="20"/>
                <w:lang w:eastAsia="ko-KR"/>
              </w:rPr>
            </w:pPr>
            <w:r w:rsidRPr="0026668C">
              <w:rPr>
                <w:rFonts w:eastAsiaTheme="minorEastAsia" w:cs="Calibri"/>
                <w:bCs/>
                <w:w w:val="105"/>
                <w:sz w:val="20"/>
                <w:szCs w:val="20"/>
                <w:lang w:eastAsia="ko-KR"/>
              </w:rPr>
              <w:t xml:space="preserve">the Agency </w:t>
            </w:r>
            <w:r w:rsidRPr="0026668C">
              <w:rPr>
                <w:rFonts w:eastAsiaTheme="minorEastAsia" w:cs="Calibri"/>
                <w:bCs/>
                <w:spacing w:val="-1"/>
                <w:w w:val="105"/>
                <w:sz w:val="20"/>
                <w:szCs w:val="20"/>
                <w:lang w:eastAsia="ko-KR"/>
              </w:rPr>
              <w:t>provide</w:t>
            </w:r>
            <w:r w:rsidRPr="0026668C">
              <w:rPr>
                <w:rFonts w:eastAsiaTheme="minorEastAsia" w:cs="Calibri"/>
                <w:bCs/>
                <w:w w:val="105"/>
                <w:sz w:val="20"/>
                <w:szCs w:val="20"/>
                <w:lang w:eastAsia="ko-KR"/>
              </w:rPr>
              <w:t xml:space="preserve"> training to staff on the amendments to the FOI Procedure</w:t>
            </w:r>
            <w:r w:rsidRPr="0026668C">
              <w:rPr>
                <w:rFonts w:eastAsiaTheme="minorEastAsia" w:cs="Calibri"/>
                <w:bCs/>
                <w:spacing w:val="-1"/>
                <w:w w:val="105"/>
                <w:sz w:val="20"/>
                <w:szCs w:val="20"/>
                <w:lang w:eastAsia="ko-KR"/>
              </w:rPr>
              <w:t xml:space="preserve"> </w:t>
            </w:r>
            <w:r w:rsidRPr="0026668C">
              <w:rPr>
                <w:rFonts w:eastAsiaTheme="minorEastAsia" w:cs="Calibri"/>
                <w:bCs/>
                <w:w w:val="105"/>
                <w:sz w:val="20"/>
                <w:szCs w:val="20"/>
                <w:lang w:eastAsia="ko-KR"/>
              </w:rPr>
              <w:t>Manual.</w:t>
            </w:r>
          </w:p>
          <w:p w14:paraId="3C44FBE4" w14:textId="77777777" w:rsidR="00FF43B9" w:rsidRPr="00E029AC" w:rsidRDefault="00FF43B9" w:rsidP="00FF43B9">
            <w:pPr>
              <w:autoSpaceDE w:val="0"/>
              <w:autoSpaceDN w:val="0"/>
              <w:adjustRightInd w:val="0"/>
              <w:spacing w:after="0" w:line="240" w:lineRule="auto"/>
              <w:rPr>
                <w:b/>
                <w:bCs/>
                <w:color w:val="000000" w:themeColor="text1"/>
                <w:sz w:val="20"/>
                <w:szCs w:val="20"/>
              </w:rPr>
            </w:pPr>
          </w:p>
        </w:tc>
        <w:tc>
          <w:tcPr>
            <w:tcW w:w="0" w:type="dxa"/>
          </w:tcPr>
          <w:p w14:paraId="3D8025F5" w14:textId="1D40BCFD" w:rsidR="00FF43B9" w:rsidRDefault="00FF43B9" w:rsidP="00FF43B9">
            <w:pPr>
              <w:rPr>
                <w:sz w:val="20"/>
                <w:szCs w:val="20"/>
              </w:rPr>
            </w:pPr>
            <w:r w:rsidRPr="0026668C">
              <w:rPr>
                <w:bCs/>
                <w:sz w:val="20"/>
                <w:szCs w:val="20"/>
              </w:rPr>
              <w:t>Not applicable</w:t>
            </w:r>
          </w:p>
        </w:tc>
        <w:tc>
          <w:tcPr>
            <w:tcW w:w="0" w:type="dxa"/>
          </w:tcPr>
          <w:p w14:paraId="783CF075" w14:textId="400F5D12" w:rsidR="00FF43B9" w:rsidRDefault="00FF43B9" w:rsidP="00FF43B9">
            <w:pPr>
              <w:rPr>
                <w:sz w:val="20"/>
                <w:szCs w:val="20"/>
              </w:rPr>
            </w:pPr>
            <w:r w:rsidRPr="0026668C">
              <w:rPr>
                <w:bCs/>
                <w:sz w:val="20"/>
                <w:szCs w:val="20"/>
              </w:rPr>
              <w:t>Not applicable</w:t>
            </w:r>
          </w:p>
        </w:tc>
      </w:tr>
      <w:tr w:rsidR="00FF43B9" w:rsidRPr="00D94668" w14:paraId="1C1B9D42" w14:textId="77777777" w:rsidTr="0086062E">
        <w:trPr>
          <w:trHeight w:val="917"/>
        </w:trPr>
        <w:tc>
          <w:tcPr>
            <w:tcW w:w="1888" w:type="dxa"/>
          </w:tcPr>
          <w:p w14:paraId="4836DDF3" w14:textId="2AD1B7EA" w:rsidR="00FF43B9" w:rsidRDefault="00FF43B9" w:rsidP="00FF43B9">
            <w:pPr>
              <w:rPr>
                <w:color w:val="000000" w:themeColor="text1"/>
                <w:sz w:val="20"/>
                <w:szCs w:val="20"/>
              </w:rPr>
            </w:pPr>
            <w:r>
              <w:rPr>
                <w:color w:val="000000" w:themeColor="text1"/>
                <w:sz w:val="20"/>
                <w:szCs w:val="20"/>
              </w:rPr>
              <w:t xml:space="preserve">Department of Veterans’ Affairs </w:t>
            </w:r>
          </w:p>
        </w:tc>
        <w:tc>
          <w:tcPr>
            <w:tcW w:w="2223" w:type="dxa"/>
          </w:tcPr>
          <w:p w14:paraId="7BED8984" w14:textId="74CF70B0" w:rsidR="00FF43B9" w:rsidRDefault="00FF43B9" w:rsidP="00FF43B9">
            <w:pPr>
              <w:rPr>
                <w:color w:val="000000" w:themeColor="text1"/>
                <w:sz w:val="20"/>
                <w:szCs w:val="20"/>
              </w:rPr>
            </w:pPr>
            <w:r>
              <w:rPr>
                <w:color w:val="000000" w:themeColor="text1"/>
                <w:sz w:val="20"/>
                <w:szCs w:val="20"/>
              </w:rPr>
              <w:t xml:space="preserve">Whether the Department was incorrectly managing disclosure log access requests </w:t>
            </w:r>
          </w:p>
        </w:tc>
        <w:tc>
          <w:tcPr>
            <w:tcW w:w="1352" w:type="dxa"/>
          </w:tcPr>
          <w:p w14:paraId="62C18FC7" w14:textId="35E78A58" w:rsidR="00FF43B9" w:rsidRDefault="00FF43B9" w:rsidP="00FF43B9">
            <w:pPr>
              <w:rPr>
                <w:color w:val="000000" w:themeColor="text1"/>
                <w:sz w:val="20"/>
                <w:szCs w:val="20"/>
              </w:rPr>
            </w:pPr>
            <w:r>
              <w:rPr>
                <w:color w:val="000000" w:themeColor="text1"/>
                <w:sz w:val="20"/>
                <w:szCs w:val="20"/>
              </w:rPr>
              <w:t xml:space="preserve">Non-personal </w:t>
            </w:r>
          </w:p>
        </w:tc>
        <w:tc>
          <w:tcPr>
            <w:tcW w:w="1483" w:type="dxa"/>
          </w:tcPr>
          <w:p w14:paraId="36B5A4D4" w14:textId="091A51C8" w:rsidR="00FF43B9" w:rsidRDefault="00FF43B9" w:rsidP="00FF43B9">
            <w:pPr>
              <w:rPr>
                <w:color w:val="000000" w:themeColor="text1"/>
                <w:sz w:val="20"/>
                <w:szCs w:val="20"/>
              </w:rPr>
            </w:pPr>
            <w:r>
              <w:rPr>
                <w:color w:val="000000" w:themeColor="text1"/>
                <w:sz w:val="20"/>
                <w:szCs w:val="20"/>
              </w:rPr>
              <w:t>13 March 2024</w:t>
            </w:r>
          </w:p>
        </w:tc>
        <w:tc>
          <w:tcPr>
            <w:tcW w:w="4395" w:type="dxa"/>
          </w:tcPr>
          <w:p w14:paraId="71812331" w14:textId="08A1C80C" w:rsidR="00FF43B9" w:rsidRDefault="00FF43B9" w:rsidP="00FF43B9">
            <w:pPr>
              <w:rPr>
                <w:color w:val="000000" w:themeColor="text1"/>
                <w:sz w:val="20"/>
                <w:szCs w:val="20"/>
              </w:rPr>
            </w:pPr>
            <w:r>
              <w:rPr>
                <w:color w:val="000000" w:themeColor="text1"/>
                <w:sz w:val="20"/>
                <w:szCs w:val="20"/>
              </w:rPr>
              <w:t xml:space="preserve">On balance, the complaint is substantiated. The Department has since taken reasonable steps to address the complainant’s concerns. There are no current delays with the Department providing access to documents from its disclosure log. </w:t>
            </w:r>
          </w:p>
        </w:tc>
        <w:tc>
          <w:tcPr>
            <w:tcW w:w="5811" w:type="dxa"/>
          </w:tcPr>
          <w:p w14:paraId="3DD3FB02"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 xml:space="preserve">Two suggestions made: </w:t>
            </w:r>
          </w:p>
          <w:p w14:paraId="79D93058" w14:textId="5E12B2ED" w:rsidR="00FF43B9" w:rsidRDefault="00FF43B9" w:rsidP="00FF43B9">
            <w:pPr>
              <w:pStyle w:val="ListParagraph"/>
              <w:numPr>
                <w:ilvl w:val="0"/>
                <w:numId w:val="50"/>
              </w:numPr>
              <w:autoSpaceDE w:val="0"/>
              <w:autoSpaceDN w:val="0"/>
              <w:adjustRightInd w:val="0"/>
              <w:spacing w:after="0" w:line="240" w:lineRule="auto"/>
              <w:rPr>
                <w:color w:val="000000" w:themeColor="text1"/>
                <w:sz w:val="20"/>
                <w:szCs w:val="20"/>
              </w:rPr>
            </w:pPr>
            <w:r w:rsidRPr="00FC5D52">
              <w:rPr>
                <w:color w:val="000000" w:themeColor="text1"/>
                <w:sz w:val="20"/>
                <w:szCs w:val="20"/>
              </w:rPr>
              <w:t>The Department is to provide quarterly updates to the OAIC – on 13 September 202</w:t>
            </w:r>
            <w:r w:rsidR="00FF5C69">
              <w:rPr>
                <w:color w:val="000000" w:themeColor="text1"/>
                <w:sz w:val="20"/>
                <w:szCs w:val="20"/>
              </w:rPr>
              <w:t>4</w:t>
            </w:r>
            <w:r w:rsidRPr="00FC5D52">
              <w:rPr>
                <w:color w:val="000000" w:themeColor="text1"/>
                <w:sz w:val="20"/>
                <w:szCs w:val="20"/>
              </w:rPr>
              <w:t xml:space="preserve"> and 13 March 2025 – about its timeliness in providing documents from its disclosure log. In providing this update, the Department should include details of any delays in providing access to documents from its disclosure log, whether the </w:t>
            </w:r>
            <w:r w:rsidRPr="00FC5D52">
              <w:rPr>
                <w:color w:val="000000" w:themeColor="text1"/>
                <w:sz w:val="20"/>
                <w:szCs w:val="20"/>
              </w:rPr>
              <w:lastRenderedPageBreak/>
              <w:t>Department is corresponding with FOI applicant in circumstances of delays, and the steps it is taking to ensure that delays do not continue to occur</w:t>
            </w:r>
            <w:r>
              <w:rPr>
                <w:color w:val="000000" w:themeColor="text1"/>
                <w:sz w:val="20"/>
                <w:szCs w:val="20"/>
              </w:rPr>
              <w:t xml:space="preserve">. </w:t>
            </w:r>
          </w:p>
          <w:p w14:paraId="29E732BB" w14:textId="77777777" w:rsidR="00FF43B9" w:rsidRDefault="00FF43B9" w:rsidP="00FF43B9">
            <w:pPr>
              <w:pStyle w:val="ListParagraph"/>
              <w:autoSpaceDE w:val="0"/>
              <w:autoSpaceDN w:val="0"/>
              <w:adjustRightInd w:val="0"/>
              <w:spacing w:after="0" w:line="240" w:lineRule="auto"/>
              <w:rPr>
                <w:color w:val="000000" w:themeColor="text1"/>
                <w:sz w:val="20"/>
                <w:szCs w:val="20"/>
              </w:rPr>
            </w:pPr>
          </w:p>
          <w:p w14:paraId="02300843" w14:textId="7D2A32D5" w:rsidR="00FF43B9" w:rsidRPr="001660E8" w:rsidRDefault="00FF43B9" w:rsidP="00FF43B9">
            <w:pPr>
              <w:pStyle w:val="ListParagraph"/>
              <w:numPr>
                <w:ilvl w:val="0"/>
                <w:numId w:val="50"/>
              </w:numPr>
              <w:autoSpaceDE w:val="0"/>
              <w:autoSpaceDN w:val="0"/>
              <w:adjustRightInd w:val="0"/>
              <w:spacing w:after="0" w:line="240" w:lineRule="auto"/>
              <w:rPr>
                <w:color w:val="000000" w:themeColor="text1"/>
                <w:sz w:val="20"/>
                <w:szCs w:val="20"/>
              </w:rPr>
            </w:pPr>
            <w:r>
              <w:rPr>
                <w:rFonts w:eastAsiaTheme="minorEastAsia" w:cs="Source Sans Pro"/>
                <w:color w:val="000000"/>
                <w:sz w:val="20"/>
                <w:szCs w:val="20"/>
                <w:lang w:eastAsia="ko-KR"/>
              </w:rPr>
              <w:t>T</w:t>
            </w:r>
            <w:r w:rsidRPr="002F5BF7">
              <w:rPr>
                <w:rFonts w:eastAsiaTheme="minorEastAsia" w:cs="Source Sans Pro"/>
                <w:color w:val="000000"/>
                <w:sz w:val="20"/>
                <w:szCs w:val="20"/>
                <w:lang w:eastAsia="ko-KR"/>
              </w:rPr>
              <w:t>he Department is to provide quarterly updates to the OAIC – 13 September 202</w:t>
            </w:r>
            <w:r w:rsidR="00FF5C69">
              <w:rPr>
                <w:rFonts w:eastAsiaTheme="minorEastAsia" w:cs="Source Sans Pro"/>
                <w:color w:val="000000"/>
                <w:sz w:val="20"/>
                <w:szCs w:val="20"/>
                <w:lang w:eastAsia="ko-KR"/>
              </w:rPr>
              <w:t>4</w:t>
            </w:r>
            <w:r w:rsidRPr="002F5BF7">
              <w:rPr>
                <w:rFonts w:eastAsiaTheme="minorEastAsia" w:cs="Source Sans Pro"/>
                <w:color w:val="000000"/>
                <w:sz w:val="20"/>
                <w:szCs w:val="20"/>
                <w:lang w:eastAsia="ko-KR"/>
              </w:rPr>
              <w:t xml:space="preserve"> and 13 March 2025 – regarding its progress in moving its disclosure log towards direct download. </w:t>
            </w:r>
          </w:p>
        </w:tc>
        <w:tc>
          <w:tcPr>
            <w:tcW w:w="2127" w:type="dxa"/>
          </w:tcPr>
          <w:p w14:paraId="07B9B6C1" w14:textId="44099577" w:rsidR="00FF43B9" w:rsidRDefault="00FF43B9" w:rsidP="00FF43B9">
            <w:pPr>
              <w:rPr>
                <w:sz w:val="20"/>
                <w:szCs w:val="20"/>
              </w:rPr>
            </w:pPr>
            <w:r>
              <w:rPr>
                <w:sz w:val="20"/>
                <w:szCs w:val="20"/>
              </w:rPr>
              <w:lastRenderedPageBreak/>
              <w:t xml:space="preserve">Not applicable. </w:t>
            </w:r>
          </w:p>
        </w:tc>
        <w:tc>
          <w:tcPr>
            <w:tcW w:w="1984" w:type="dxa"/>
          </w:tcPr>
          <w:p w14:paraId="7AA4B75E" w14:textId="21967A34" w:rsidR="00FF43B9" w:rsidRDefault="00FF43B9" w:rsidP="00FF43B9">
            <w:pPr>
              <w:rPr>
                <w:sz w:val="20"/>
                <w:szCs w:val="20"/>
              </w:rPr>
            </w:pPr>
            <w:r>
              <w:rPr>
                <w:sz w:val="20"/>
                <w:szCs w:val="20"/>
              </w:rPr>
              <w:t xml:space="preserve">Not applicable. </w:t>
            </w:r>
          </w:p>
        </w:tc>
      </w:tr>
      <w:tr w:rsidR="00FF43B9" w:rsidRPr="00D94668" w14:paraId="6AC8353B" w14:textId="77777777" w:rsidTr="0086062E">
        <w:trPr>
          <w:trHeight w:val="917"/>
        </w:trPr>
        <w:tc>
          <w:tcPr>
            <w:tcW w:w="1888" w:type="dxa"/>
          </w:tcPr>
          <w:p w14:paraId="6225C591" w14:textId="5F0FE0C9" w:rsidR="00FF43B9" w:rsidRDefault="00FF43B9" w:rsidP="00FF43B9">
            <w:pPr>
              <w:rPr>
                <w:color w:val="000000" w:themeColor="text1"/>
                <w:sz w:val="20"/>
                <w:szCs w:val="20"/>
              </w:rPr>
            </w:pPr>
            <w:r>
              <w:rPr>
                <w:color w:val="000000" w:themeColor="text1"/>
                <w:sz w:val="20"/>
                <w:szCs w:val="20"/>
              </w:rPr>
              <w:t>Department of Industry, Science and Resources</w:t>
            </w:r>
          </w:p>
        </w:tc>
        <w:tc>
          <w:tcPr>
            <w:tcW w:w="2223" w:type="dxa"/>
          </w:tcPr>
          <w:p w14:paraId="5E19248A" w14:textId="49EA4ADC" w:rsidR="00FF43B9" w:rsidRDefault="00FF43B9" w:rsidP="00FF43B9">
            <w:pPr>
              <w:rPr>
                <w:color w:val="000000" w:themeColor="text1"/>
                <w:sz w:val="20"/>
                <w:szCs w:val="20"/>
              </w:rPr>
            </w:pPr>
            <w:r>
              <w:rPr>
                <w:color w:val="000000" w:themeColor="text1"/>
                <w:sz w:val="20"/>
                <w:szCs w:val="20"/>
              </w:rPr>
              <w:t>Whether the Department ought to have consulted with the complainant prior to publishing documents on its disclosure log and third party websites</w:t>
            </w:r>
          </w:p>
        </w:tc>
        <w:tc>
          <w:tcPr>
            <w:tcW w:w="1352" w:type="dxa"/>
          </w:tcPr>
          <w:p w14:paraId="059BAC4F" w14:textId="5B39D94D" w:rsidR="00FF43B9" w:rsidRDefault="00FF43B9" w:rsidP="00FF43B9">
            <w:pPr>
              <w:rPr>
                <w:color w:val="000000" w:themeColor="text1"/>
                <w:sz w:val="20"/>
                <w:szCs w:val="20"/>
              </w:rPr>
            </w:pPr>
            <w:r>
              <w:rPr>
                <w:color w:val="000000" w:themeColor="text1"/>
                <w:sz w:val="20"/>
                <w:szCs w:val="20"/>
              </w:rPr>
              <w:t>Personal</w:t>
            </w:r>
          </w:p>
        </w:tc>
        <w:tc>
          <w:tcPr>
            <w:tcW w:w="1483" w:type="dxa"/>
          </w:tcPr>
          <w:p w14:paraId="402E14F0" w14:textId="66823591" w:rsidR="00FF43B9" w:rsidRDefault="00FF43B9" w:rsidP="00FF43B9">
            <w:pPr>
              <w:rPr>
                <w:color w:val="000000" w:themeColor="text1"/>
                <w:sz w:val="20"/>
                <w:szCs w:val="20"/>
              </w:rPr>
            </w:pPr>
            <w:r>
              <w:rPr>
                <w:color w:val="000000" w:themeColor="text1"/>
                <w:sz w:val="20"/>
                <w:szCs w:val="20"/>
              </w:rPr>
              <w:t>6 March 2024</w:t>
            </w:r>
          </w:p>
        </w:tc>
        <w:tc>
          <w:tcPr>
            <w:tcW w:w="4395" w:type="dxa"/>
          </w:tcPr>
          <w:p w14:paraId="42E6048B" w14:textId="59FCB505" w:rsidR="00FF43B9" w:rsidRDefault="00FF43B9" w:rsidP="00FF43B9">
            <w:pPr>
              <w:rPr>
                <w:color w:val="000000" w:themeColor="text1"/>
                <w:sz w:val="20"/>
                <w:szCs w:val="20"/>
              </w:rPr>
            </w:pPr>
            <w:r>
              <w:rPr>
                <w:color w:val="000000" w:themeColor="text1"/>
                <w:sz w:val="20"/>
                <w:szCs w:val="20"/>
              </w:rPr>
              <w:t>On  balance, the complaint is substantiated. The Department has since taken reasonable steps to address the complainant’s concerns. The Department’s approach in this matter does not reflect any systemic procedural concerns in how the Department processes requests.</w:t>
            </w:r>
          </w:p>
        </w:tc>
        <w:tc>
          <w:tcPr>
            <w:tcW w:w="5811" w:type="dxa"/>
          </w:tcPr>
          <w:p w14:paraId="38EB21F7"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One suggestion made:</w:t>
            </w:r>
          </w:p>
          <w:p w14:paraId="0D491BAB" w14:textId="3CF09D6D" w:rsidR="00FF43B9" w:rsidRPr="00E575DB" w:rsidRDefault="00FF43B9" w:rsidP="00FF43B9">
            <w:pPr>
              <w:pStyle w:val="ListParagraph"/>
              <w:numPr>
                <w:ilvl w:val="0"/>
                <w:numId w:val="51"/>
              </w:numPr>
              <w:autoSpaceDE w:val="0"/>
              <w:autoSpaceDN w:val="0"/>
              <w:adjustRightInd w:val="0"/>
              <w:spacing w:after="0" w:line="240" w:lineRule="auto"/>
              <w:rPr>
                <w:color w:val="000000" w:themeColor="text1"/>
                <w:sz w:val="20"/>
                <w:szCs w:val="20"/>
              </w:rPr>
            </w:pPr>
            <w:r>
              <w:rPr>
                <w:color w:val="000000" w:themeColor="text1"/>
                <w:sz w:val="20"/>
                <w:szCs w:val="20"/>
              </w:rPr>
              <w:t>The Department update its policies to highlight the need to carefully consider the requirement to consult having regard to the unique circumstances of each case prior to publishing documents on its disclosure log and/or third-party websites.</w:t>
            </w:r>
          </w:p>
        </w:tc>
        <w:tc>
          <w:tcPr>
            <w:tcW w:w="2127" w:type="dxa"/>
          </w:tcPr>
          <w:p w14:paraId="48B73A6C" w14:textId="044B3097" w:rsidR="00FF43B9" w:rsidRDefault="00FF43B9" w:rsidP="00FF43B9">
            <w:pPr>
              <w:rPr>
                <w:sz w:val="20"/>
                <w:szCs w:val="20"/>
              </w:rPr>
            </w:pPr>
            <w:r>
              <w:rPr>
                <w:sz w:val="20"/>
                <w:szCs w:val="20"/>
              </w:rPr>
              <w:t>Not applicable.</w:t>
            </w:r>
          </w:p>
        </w:tc>
        <w:tc>
          <w:tcPr>
            <w:tcW w:w="1984" w:type="dxa"/>
          </w:tcPr>
          <w:p w14:paraId="38493021" w14:textId="6870F1B1" w:rsidR="00FF43B9" w:rsidRDefault="00FF43B9" w:rsidP="00FF43B9">
            <w:pPr>
              <w:rPr>
                <w:sz w:val="20"/>
                <w:szCs w:val="20"/>
              </w:rPr>
            </w:pPr>
            <w:r>
              <w:rPr>
                <w:sz w:val="20"/>
                <w:szCs w:val="20"/>
              </w:rPr>
              <w:t xml:space="preserve">Not applicable. </w:t>
            </w:r>
          </w:p>
        </w:tc>
      </w:tr>
      <w:tr w:rsidR="00FF43B9" w:rsidRPr="00D94668" w14:paraId="0103A5AF" w14:textId="77777777" w:rsidTr="0086062E">
        <w:trPr>
          <w:trHeight w:val="917"/>
        </w:trPr>
        <w:tc>
          <w:tcPr>
            <w:tcW w:w="1888" w:type="dxa"/>
          </w:tcPr>
          <w:p w14:paraId="6914E030" w14:textId="22468C71" w:rsidR="00FF43B9" w:rsidRDefault="00FF43B9" w:rsidP="00FF43B9">
            <w:pPr>
              <w:rPr>
                <w:color w:val="000000" w:themeColor="text1"/>
                <w:sz w:val="20"/>
                <w:szCs w:val="20"/>
              </w:rPr>
            </w:pPr>
            <w:r>
              <w:rPr>
                <w:color w:val="000000" w:themeColor="text1"/>
                <w:sz w:val="20"/>
                <w:szCs w:val="20"/>
              </w:rPr>
              <w:t>Australian Federal Police</w:t>
            </w:r>
          </w:p>
        </w:tc>
        <w:tc>
          <w:tcPr>
            <w:tcW w:w="2223" w:type="dxa"/>
          </w:tcPr>
          <w:p w14:paraId="58CD570C" w14:textId="3AFFFAF7" w:rsidR="00FF43B9" w:rsidRDefault="00FF43B9" w:rsidP="00FF43B9">
            <w:pPr>
              <w:rPr>
                <w:color w:val="000000" w:themeColor="text1"/>
                <w:sz w:val="20"/>
                <w:szCs w:val="20"/>
              </w:rPr>
            </w:pPr>
            <w:r>
              <w:rPr>
                <w:color w:val="000000" w:themeColor="text1"/>
                <w:sz w:val="20"/>
                <w:szCs w:val="20"/>
              </w:rPr>
              <w:t>Whether the AFP adequately communicated with the complainant while processing the request</w:t>
            </w:r>
          </w:p>
          <w:p w14:paraId="60E975EA" w14:textId="2F8D651B" w:rsidR="00FF43B9" w:rsidRDefault="00FF43B9" w:rsidP="00FF43B9">
            <w:pPr>
              <w:rPr>
                <w:color w:val="000000" w:themeColor="text1"/>
                <w:sz w:val="20"/>
                <w:szCs w:val="20"/>
              </w:rPr>
            </w:pPr>
            <w:r>
              <w:rPr>
                <w:color w:val="000000" w:themeColor="text1"/>
                <w:sz w:val="20"/>
                <w:szCs w:val="20"/>
              </w:rPr>
              <w:t>Whether there were delays in processing the request</w:t>
            </w:r>
          </w:p>
        </w:tc>
        <w:tc>
          <w:tcPr>
            <w:tcW w:w="1352" w:type="dxa"/>
          </w:tcPr>
          <w:p w14:paraId="775D8219" w14:textId="0EF7D47D" w:rsidR="00FF43B9" w:rsidRDefault="00FF43B9" w:rsidP="00FF43B9">
            <w:pPr>
              <w:rPr>
                <w:color w:val="000000" w:themeColor="text1"/>
                <w:sz w:val="20"/>
                <w:szCs w:val="20"/>
              </w:rPr>
            </w:pPr>
            <w:r>
              <w:rPr>
                <w:color w:val="000000" w:themeColor="text1"/>
                <w:sz w:val="20"/>
                <w:szCs w:val="20"/>
              </w:rPr>
              <w:t>Non-personal</w:t>
            </w:r>
          </w:p>
        </w:tc>
        <w:tc>
          <w:tcPr>
            <w:tcW w:w="1483" w:type="dxa"/>
          </w:tcPr>
          <w:p w14:paraId="5954EF18" w14:textId="79AA5CE8" w:rsidR="00FF43B9" w:rsidRDefault="00FF43B9" w:rsidP="00FF43B9">
            <w:pPr>
              <w:rPr>
                <w:color w:val="000000" w:themeColor="text1"/>
                <w:sz w:val="20"/>
                <w:szCs w:val="20"/>
              </w:rPr>
            </w:pPr>
            <w:r>
              <w:rPr>
                <w:color w:val="000000" w:themeColor="text1"/>
                <w:sz w:val="20"/>
                <w:szCs w:val="20"/>
              </w:rPr>
              <w:t>5 March 2024</w:t>
            </w:r>
          </w:p>
        </w:tc>
        <w:tc>
          <w:tcPr>
            <w:tcW w:w="4395" w:type="dxa"/>
          </w:tcPr>
          <w:p w14:paraId="7F6D1C87" w14:textId="77777777" w:rsidR="00FF43B9" w:rsidRDefault="00FF43B9" w:rsidP="00FF43B9">
            <w:pPr>
              <w:rPr>
                <w:color w:val="000000" w:themeColor="text1"/>
                <w:sz w:val="20"/>
                <w:szCs w:val="20"/>
              </w:rPr>
            </w:pPr>
            <w:r>
              <w:rPr>
                <w:color w:val="000000" w:themeColor="text1"/>
                <w:sz w:val="20"/>
                <w:szCs w:val="20"/>
              </w:rPr>
              <w:t xml:space="preserve">The complaint is substantiated. </w:t>
            </w:r>
          </w:p>
          <w:p w14:paraId="31C60932" w14:textId="419F42C3" w:rsidR="00FF43B9" w:rsidRPr="007F16FD" w:rsidRDefault="00FF43B9" w:rsidP="00FF43B9">
            <w:pPr>
              <w:autoSpaceDE w:val="0"/>
              <w:autoSpaceDN w:val="0"/>
              <w:adjustRightInd w:val="0"/>
              <w:spacing w:after="274" w:line="240" w:lineRule="auto"/>
              <w:rPr>
                <w:color w:val="000000" w:themeColor="text1"/>
                <w:sz w:val="20"/>
                <w:szCs w:val="20"/>
              </w:rPr>
            </w:pPr>
            <w:r>
              <w:rPr>
                <w:color w:val="000000" w:themeColor="text1"/>
                <w:sz w:val="20"/>
                <w:szCs w:val="20"/>
              </w:rPr>
              <w:t>T</w:t>
            </w:r>
            <w:r w:rsidRPr="007F16FD">
              <w:rPr>
                <w:color w:val="000000" w:themeColor="text1"/>
                <w:sz w:val="20"/>
                <w:szCs w:val="20"/>
              </w:rPr>
              <w:t>here were significant delays in processing the complainant</w:t>
            </w:r>
            <w:r>
              <w:rPr>
                <w:color w:val="000000" w:themeColor="text1"/>
                <w:sz w:val="20"/>
                <w:szCs w:val="20"/>
              </w:rPr>
              <w:t>’</w:t>
            </w:r>
            <w:r w:rsidRPr="007F16FD">
              <w:rPr>
                <w:color w:val="000000" w:themeColor="text1"/>
                <w:sz w:val="20"/>
                <w:szCs w:val="20"/>
              </w:rPr>
              <w:t>s request of 14 June 2021 made under s 15 of the FOI Act</w:t>
            </w:r>
            <w:r>
              <w:rPr>
                <w:color w:val="000000" w:themeColor="text1"/>
                <w:sz w:val="20"/>
                <w:szCs w:val="20"/>
              </w:rPr>
              <w:t>.</w:t>
            </w:r>
            <w:r w:rsidRPr="007F16FD">
              <w:rPr>
                <w:color w:val="000000" w:themeColor="text1"/>
                <w:sz w:val="20"/>
                <w:szCs w:val="20"/>
              </w:rPr>
              <w:t xml:space="preserve"> </w:t>
            </w:r>
          </w:p>
          <w:p w14:paraId="155B8029" w14:textId="5B59896F" w:rsidR="00FF43B9" w:rsidRPr="007F16FD" w:rsidRDefault="00FF43B9" w:rsidP="00FF43B9">
            <w:pPr>
              <w:autoSpaceDE w:val="0"/>
              <w:autoSpaceDN w:val="0"/>
              <w:adjustRightInd w:val="0"/>
              <w:spacing w:after="274" w:line="240" w:lineRule="auto"/>
              <w:rPr>
                <w:color w:val="000000" w:themeColor="text1"/>
                <w:sz w:val="20"/>
                <w:szCs w:val="20"/>
              </w:rPr>
            </w:pPr>
            <w:r>
              <w:rPr>
                <w:color w:val="000000" w:themeColor="text1"/>
                <w:sz w:val="20"/>
                <w:szCs w:val="20"/>
              </w:rPr>
              <w:t>T</w:t>
            </w:r>
            <w:r w:rsidRPr="007F16FD">
              <w:rPr>
                <w:color w:val="000000" w:themeColor="text1"/>
                <w:sz w:val="20"/>
                <w:szCs w:val="20"/>
              </w:rPr>
              <w:t>he AFP was not sufficiently responsive to complainant’s emails to the AFP following the issue of a notice of intention to refuse</w:t>
            </w:r>
            <w:r>
              <w:rPr>
                <w:color w:val="000000" w:themeColor="text1"/>
                <w:sz w:val="20"/>
                <w:szCs w:val="20"/>
              </w:rPr>
              <w:t>.</w:t>
            </w:r>
            <w:r w:rsidRPr="007F16FD">
              <w:rPr>
                <w:color w:val="000000" w:themeColor="text1"/>
                <w:sz w:val="20"/>
                <w:szCs w:val="20"/>
              </w:rPr>
              <w:t xml:space="preserve"> </w:t>
            </w:r>
          </w:p>
          <w:p w14:paraId="725052D3" w14:textId="1AEC634E" w:rsidR="00FF43B9" w:rsidRPr="007F16FD"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t>
            </w:r>
            <w:r w:rsidRPr="007F16FD">
              <w:rPr>
                <w:color w:val="000000" w:themeColor="text1"/>
                <w:sz w:val="20"/>
                <w:szCs w:val="20"/>
              </w:rPr>
              <w:t xml:space="preserve">he AFP did not take reasonable steps during the practical refusal process to assist the complainant to revise the request so that the practical refusal reason no longer existed (see s 24AB of the FOI Act). </w:t>
            </w:r>
          </w:p>
          <w:p w14:paraId="2A6548DB" w14:textId="7132C0C7" w:rsidR="00FF43B9" w:rsidRDefault="00FF43B9" w:rsidP="00FF43B9">
            <w:pPr>
              <w:rPr>
                <w:color w:val="000000" w:themeColor="text1"/>
                <w:sz w:val="20"/>
                <w:szCs w:val="20"/>
              </w:rPr>
            </w:pPr>
          </w:p>
        </w:tc>
        <w:tc>
          <w:tcPr>
            <w:tcW w:w="5811" w:type="dxa"/>
          </w:tcPr>
          <w:p w14:paraId="2C5484F0"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Three recommendations made:</w:t>
            </w:r>
          </w:p>
          <w:p w14:paraId="58C04E9D" w14:textId="6EBC7CB7" w:rsidR="00FF43B9" w:rsidRDefault="00FF43B9" w:rsidP="00FF43B9">
            <w:pPr>
              <w:pStyle w:val="ListParagraph"/>
              <w:numPr>
                <w:ilvl w:val="0"/>
                <w:numId w:val="52"/>
              </w:numPr>
              <w:autoSpaceDE w:val="0"/>
              <w:autoSpaceDN w:val="0"/>
              <w:adjustRightInd w:val="0"/>
              <w:spacing w:after="0" w:line="240" w:lineRule="auto"/>
              <w:rPr>
                <w:color w:val="000000" w:themeColor="text1"/>
                <w:sz w:val="20"/>
                <w:szCs w:val="20"/>
              </w:rPr>
            </w:pPr>
            <w:r>
              <w:rPr>
                <w:color w:val="000000" w:themeColor="text1"/>
                <w:sz w:val="20"/>
                <w:szCs w:val="20"/>
              </w:rPr>
              <w:t>The AFP’s FOI branch is to undergo training which highlights the requirement to comply with timeframes under the FOI Act, the appropriate circumstances to seek an extension of time, and the requirements to actively engage with FOI applicant during the request consultation process to assist them revise the scope of their request.</w:t>
            </w:r>
          </w:p>
          <w:p w14:paraId="3D905257" w14:textId="2609B514" w:rsidR="00FF43B9" w:rsidRDefault="00FF43B9" w:rsidP="00FF43B9">
            <w:pPr>
              <w:pStyle w:val="ListParagraph"/>
              <w:numPr>
                <w:ilvl w:val="0"/>
                <w:numId w:val="52"/>
              </w:numPr>
              <w:autoSpaceDE w:val="0"/>
              <w:autoSpaceDN w:val="0"/>
              <w:adjustRightInd w:val="0"/>
              <w:spacing w:after="0" w:line="240" w:lineRule="auto"/>
              <w:rPr>
                <w:color w:val="000000" w:themeColor="text1"/>
                <w:sz w:val="20"/>
                <w:szCs w:val="20"/>
              </w:rPr>
            </w:pPr>
            <w:r>
              <w:rPr>
                <w:color w:val="000000" w:themeColor="text1"/>
                <w:sz w:val="20"/>
                <w:szCs w:val="20"/>
              </w:rPr>
              <w:t>The AFP is to conduct an assessment of all FOI requests received between 5 June 2023 and 5 December 2023 in which a practical refusal notice is sent to an applicant pursuant to s 24AB(2) to ensure that the statutory timeframes are being complied with and that the training has been effective.</w:t>
            </w:r>
          </w:p>
          <w:p w14:paraId="0AA8CAEF" w14:textId="5B54A5FB" w:rsidR="00FF43B9" w:rsidRPr="00BE573F" w:rsidRDefault="00FF43B9" w:rsidP="00FF43B9">
            <w:pPr>
              <w:pStyle w:val="ListParagraph"/>
              <w:numPr>
                <w:ilvl w:val="0"/>
                <w:numId w:val="52"/>
              </w:numPr>
              <w:autoSpaceDE w:val="0"/>
              <w:autoSpaceDN w:val="0"/>
              <w:adjustRightInd w:val="0"/>
              <w:spacing w:after="0" w:line="240" w:lineRule="auto"/>
              <w:rPr>
                <w:color w:val="000000" w:themeColor="text1"/>
                <w:sz w:val="20"/>
                <w:szCs w:val="20"/>
              </w:rPr>
            </w:pPr>
            <w:r>
              <w:rPr>
                <w:color w:val="000000" w:themeColor="text1"/>
                <w:sz w:val="20"/>
                <w:szCs w:val="20"/>
              </w:rPr>
              <w:t>The AFP report the findings of the assessment to the OAIC highlighting any ongoing inefficiencies and the steps the AFP will endeavour to take to ensure that those inefficiencies are properly addressed.</w:t>
            </w:r>
          </w:p>
        </w:tc>
        <w:tc>
          <w:tcPr>
            <w:tcW w:w="2127" w:type="dxa"/>
          </w:tcPr>
          <w:p w14:paraId="087DF058" w14:textId="648E7EA7" w:rsidR="00FF43B9" w:rsidRDefault="00FF43B9" w:rsidP="00FF43B9">
            <w:pPr>
              <w:rPr>
                <w:sz w:val="20"/>
                <w:szCs w:val="20"/>
              </w:rPr>
            </w:pPr>
            <w:r>
              <w:rPr>
                <w:sz w:val="20"/>
                <w:szCs w:val="20"/>
              </w:rPr>
              <w:t>Accepted; to implement.</w:t>
            </w:r>
          </w:p>
        </w:tc>
        <w:tc>
          <w:tcPr>
            <w:tcW w:w="1984" w:type="dxa"/>
          </w:tcPr>
          <w:p w14:paraId="627A1850" w14:textId="77777777" w:rsidR="00FF43B9" w:rsidRDefault="00FF43B9" w:rsidP="00FF43B9">
            <w:pPr>
              <w:rPr>
                <w:sz w:val="20"/>
                <w:szCs w:val="20"/>
              </w:rPr>
            </w:pPr>
          </w:p>
        </w:tc>
      </w:tr>
      <w:tr w:rsidR="00FF43B9" w:rsidRPr="00D94668" w14:paraId="01751959" w14:textId="77777777" w:rsidTr="0086062E">
        <w:trPr>
          <w:trHeight w:val="917"/>
        </w:trPr>
        <w:tc>
          <w:tcPr>
            <w:tcW w:w="1888" w:type="dxa"/>
          </w:tcPr>
          <w:p w14:paraId="3871AD62" w14:textId="5F0C0507" w:rsidR="00FF43B9" w:rsidRDefault="00FF43B9" w:rsidP="00FF43B9">
            <w:pPr>
              <w:rPr>
                <w:color w:val="000000" w:themeColor="text1"/>
                <w:sz w:val="20"/>
                <w:szCs w:val="20"/>
              </w:rPr>
            </w:pPr>
            <w:r>
              <w:rPr>
                <w:color w:val="000000" w:themeColor="text1"/>
                <w:sz w:val="20"/>
                <w:szCs w:val="20"/>
              </w:rPr>
              <w:t>National Disability Insurance Agency</w:t>
            </w:r>
          </w:p>
        </w:tc>
        <w:tc>
          <w:tcPr>
            <w:tcW w:w="2223" w:type="dxa"/>
          </w:tcPr>
          <w:p w14:paraId="53F3790F" w14:textId="77777777" w:rsidR="00FF43B9" w:rsidRDefault="00FF43B9" w:rsidP="00FF43B9">
            <w:pPr>
              <w:rPr>
                <w:color w:val="000000" w:themeColor="text1"/>
                <w:sz w:val="20"/>
                <w:szCs w:val="20"/>
              </w:rPr>
            </w:pPr>
            <w:r>
              <w:rPr>
                <w:color w:val="000000" w:themeColor="text1"/>
                <w:sz w:val="20"/>
                <w:szCs w:val="20"/>
              </w:rPr>
              <w:t>Whether the Agency complied with statutory timeframes (s 15(5)(b))</w:t>
            </w:r>
          </w:p>
          <w:p w14:paraId="7C154956" w14:textId="3BCAB7CE" w:rsidR="00FF43B9" w:rsidRDefault="00FF43B9" w:rsidP="00FF43B9">
            <w:pPr>
              <w:rPr>
                <w:color w:val="000000" w:themeColor="text1"/>
                <w:sz w:val="20"/>
                <w:szCs w:val="20"/>
              </w:rPr>
            </w:pPr>
            <w:r>
              <w:rPr>
                <w:color w:val="000000" w:themeColor="text1"/>
                <w:sz w:val="20"/>
                <w:szCs w:val="20"/>
              </w:rPr>
              <w:t xml:space="preserve">Whether the Agency failed to provide timely responses to correspondence </w:t>
            </w:r>
          </w:p>
        </w:tc>
        <w:tc>
          <w:tcPr>
            <w:tcW w:w="1352" w:type="dxa"/>
          </w:tcPr>
          <w:p w14:paraId="57AB660C" w14:textId="1B038F2B" w:rsidR="00FF43B9" w:rsidRDefault="00FF43B9" w:rsidP="00FF43B9">
            <w:pPr>
              <w:rPr>
                <w:color w:val="000000" w:themeColor="text1"/>
                <w:sz w:val="20"/>
                <w:szCs w:val="20"/>
              </w:rPr>
            </w:pPr>
            <w:r>
              <w:rPr>
                <w:color w:val="000000" w:themeColor="text1"/>
                <w:sz w:val="20"/>
                <w:szCs w:val="20"/>
              </w:rPr>
              <w:t>Personal</w:t>
            </w:r>
          </w:p>
        </w:tc>
        <w:tc>
          <w:tcPr>
            <w:tcW w:w="1483" w:type="dxa"/>
          </w:tcPr>
          <w:p w14:paraId="6576B34C" w14:textId="05A848C5" w:rsidR="00FF43B9" w:rsidRDefault="00FF43B9" w:rsidP="00FF43B9">
            <w:pPr>
              <w:rPr>
                <w:color w:val="000000" w:themeColor="text1"/>
                <w:sz w:val="20"/>
                <w:szCs w:val="20"/>
              </w:rPr>
            </w:pPr>
            <w:r>
              <w:rPr>
                <w:color w:val="000000" w:themeColor="text1"/>
                <w:sz w:val="20"/>
                <w:szCs w:val="20"/>
              </w:rPr>
              <w:t>4 March 2024</w:t>
            </w:r>
          </w:p>
        </w:tc>
        <w:tc>
          <w:tcPr>
            <w:tcW w:w="4395" w:type="dxa"/>
          </w:tcPr>
          <w:p w14:paraId="5FAB68FA" w14:textId="77777777" w:rsidR="00FF43B9" w:rsidRDefault="00FF43B9" w:rsidP="00FF43B9">
            <w:pPr>
              <w:autoSpaceDE w:val="0"/>
              <w:autoSpaceDN w:val="0"/>
              <w:adjustRightInd w:val="0"/>
              <w:spacing w:after="274" w:line="240" w:lineRule="auto"/>
              <w:rPr>
                <w:color w:val="000000" w:themeColor="text1"/>
                <w:sz w:val="20"/>
                <w:szCs w:val="20"/>
              </w:rPr>
            </w:pPr>
            <w:r>
              <w:rPr>
                <w:color w:val="000000" w:themeColor="text1"/>
                <w:sz w:val="20"/>
                <w:szCs w:val="20"/>
              </w:rPr>
              <w:t>The complaint is substantiated.</w:t>
            </w:r>
          </w:p>
          <w:p w14:paraId="2E41102E" w14:textId="4B93F903" w:rsidR="00FF43B9" w:rsidRPr="002654D0" w:rsidRDefault="00FF43B9" w:rsidP="00FF43B9">
            <w:pPr>
              <w:autoSpaceDE w:val="0"/>
              <w:autoSpaceDN w:val="0"/>
              <w:adjustRightInd w:val="0"/>
              <w:spacing w:after="274" w:line="240" w:lineRule="auto"/>
              <w:rPr>
                <w:color w:val="000000" w:themeColor="text1"/>
                <w:sz w:val="20"/>
                <w:szCs w:val="20"/>
              </w:rPr>
            </w:pPr>
            <w:r w:rsidRPr="003B5247">
              <w:rPr>
                <w:color w:val="000000" w:themeColor="text1"/>
                <w:sz w:val="20"/>
                <w:szCs w:val="20"/>
              </w:rPr>
              <w:t>The Agency f</w:t>
            </w:r>
            <w:r w:rsidRPr="002654D0">
              <w:rPr>
                <w:color w:val="000000" w:themeColor="text1"/>
                <w:sz w:val="20"/>
                <w:szCs w:val="20"/>
              </w:rPr>
              <w:t>ailed to comply with s15 of the FOI Act</w:t>
            </w:r>
            <w:r>
              <w:rPr>
                <w:color w:val="000000" w:themeColor="text1"/>
                <w:sz w:val="20"/>
                <w:szCs w:val="20"/>
              </w:rPr>
              <w:t xml:space="preserve"> </w:t>
            </w:r>
            <w:r w:rsidRPr="002654D0">
              <w:rPr>
                <w:color w:val="000000" w:themeColor="text1"/>
                <w:sz w:val="20"/>
                <w:szCs w:val="20"/>
              </w:rPr>
              <w:t xml:space="preserve">and failed to implement systems and processes sufficient to uphold its duties under the FOI Act. </w:t>
            </w:r>
          </w:p>
          <w:p w14:paraId="111692C0" w14:textId="77777777" w:rsidR="00FF43B9" w:rsidRPr="002654D0" w:rsidRDefault="00FF43B9" w:rsidP="00FF43B9">
            <w:pPr>
              <w:numPr>
                <w:ilvl w:val="1"/>
                <w:numId w:val="49"/>
              </w:numPr>
              <w:autoSpaceDE w:val="0"/>
              <w:autoSpaceDN w:val="0"/>
              <w:adjustRightInd w:val="0"/>
              <w:spacing w:after="274" w:line="240" w:lineRule="auto"/>
              <w:rPr>
                <w:color w:val="000000" w:themeColor="text1"/>
                <w:sz w:val="20"/>
                <w:szCs w:val="20"/>
              </w:rPr>
            </w:pPr>
          </w:p>
          <w:p w14:paraId="15C95BC1" w14:textId="59069029" w:rsidR="00FF43B9" w:rsidRDefault="00FF43B9" w:rsidP="00FF43B9">
            <w:pPr>
              <w:autoSpaceDE w:val="0"/>
              <w:autoSpaceDN w:val="0"/>
              <w:adjustRightInd w:val="0"/>
              <w:spacing w:after="274" w:line="240" w:lineRule="auto"/>
              <w:rPr>
                <w:color w:val="000000" w:themeColor="text1"/>
                <w:sz w:val="20"/>
                <w:szCs w:val="20"/>
              </w:rPr>
            </w:pPr>
          </w:p>
        </w:tc>
        <w:tc>
          <w:tcPr>
            <w:tcW w:w="5811" w:type="dxa"/>
          </w:tcPr>
          <w:p w14:paraId="2D0BDF08"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Three recommendations made:</w:t>
            </w:r>
          </w:p>
          <w:p w14:paraId="379F0872" w14:textId="4C3BD2D9" w:rsidR="00FF43B9" w:rsidRPr="00F36D0B" w:rsidRDefault="00FF43B9" w:rsidP="00FF43B9">
            <w:pPr>
              <w:pStyle w:val="ListParagraph"/>
              <w:numPr>
                <w:ilvl w:val="0"/>
                <w:numId w:val="53"/>
              </w:numPr>
              <w:autoSpaceDE w:val="0"/>
              <w:autoSpaceDN w:val="0"/>
              <w:adjustRightInd w:val="0"/>
              <w:spacing w:after="0" w:line="240" w:lineRule="auto"/>
              <w:rPr>
                <w:color w:val="000000" w:themeColor="text1"/>
                <w:sz w:val="20"/>
                <w:szCs w:val="20"/>
              </w:rPr>
            </w:pPr>
            <w:r>
              <w:rPr>
                <w:color w:val="000000" w:themeColor="text1"/>
                <w:sz w:val="20"/>
                <w:szCs w:val="20"/>
              </w:rPr>
              <w:t>T</w:t>
            </w:r>
            <w:r w:rsidRPr="00F36D0B">
              <w:rPr>
                <w:color w:val="000000" w:themeColor="text1"/>
                <w:sz w:val="20"/>
                <w:szCs w:val="20"/>
              </w:rPr>
              <w:t>he Agency must provide training to staff regarding the interaction between FOI and PIA requests, highlighting the importance of ensuring that the scope of the request is properly understood as well as engaging in flexible communication with applicants in a timely manner.</w:t>
            </w:r>
          </w:p>
          <w:p w14:paraId="1B6786DE" w14:textId="6752FA47" w:rsidR="00FF43B9" w:rsidRDefault="00FF43B9" w:rsidP="00FF43B9">
            <w:pPr>
              <w:pStyle w:val="ListParagraph"/>
              <w:numPr>
                <w:ilvl w:val="0"/>
                <w:numId w:val="53"/>
              </w:numPr>
              <w:autoSpaceDE w:val="0"/>
              <w:autoSpaceDN w:val="0"/>
              <w:adjustRightInd w:val="0"/>
              <w:spacing w:after="0" w:line="240" w:lineRule="auto"/>
              <w:rPr>
                <w:color w:val="000000" w:themeColor="text1"/>
                <w:sz w:val="20"/>
                <w:szCs w:val="20"/>
              </w:rPr>
            </w:pPr>
            <w:r>
              <w:rPr>
                <w:color w:val="000000" w:themeColor="text1"/>
                <w:sz w:val="20"/>
                <w:szCs w:val="20"/>
              </w:rPr>
              <w:t>T</w:t>
            </w:r>
            <w:r w:rsidRPr="00F36D0B">
              <w:rPr>
                <w:color w:val="000000" w:themeColor="text1"/>
                <w:sz w:val="20"/>
                <w:szCs w:val="20"/>
              </w:rPr>
              <w:t>he Agency undertake an assessment of all FOI requests which involve a request for ‘personal’ documents received between 5 May 2024 and 4 November 2024 to ensure that statutory timeframes are being complied with and that the training has been effective.</w:t>
            </w:r>
            <w:r>
              <w:rPr>
                <w:color w:val="000000" w:themeColor="text1"/>
                <w:sz w:val="20"/>
                <w:szCs w:val="20"/>
              </w:rPr>
              <w:t xml:space="preserve"> </w:t>
            </w:r>
          </w:p>
          <w:p w14:paraId="1938F049" w14:textId="5BE79E00" w:rsidR="00FF43B9" w:rsidRPr="00F36D0B" w:rsidRDefault="00FF43B9" w:rsidP="00FF43B9">
            <w:pPr>
              <w:pStyle w:val="ListParagraph"/>
              <w:numPr>
                <w:ilvl w:val="0"/>
                <w:numId w:val="53"/>
              </w:numPr>
              <w:autoSpaceDE w:val="0"/>
              <w:autoSpaceDN w:val="0"/>
              <w:adjustRightInd w:val="0"/>
              <w:spacing w:after="0" w:line="240" w:lineRule="auto"/>
              <w:rPr>
                <w:color w:val="000000" w:themeColor="text1"/>
                <w:sz w:val="20"/>
                <w:szCs w:val="20"/>
              </w:rPr>
            </w:pPr>
            <w:r>
              <w:rPr>
                <w:color w:val="000000" w:themeColor="text1"/>
                <w:sz w:val="20"/>
                <w:szCs w:val="20"/>
              </w:rPr>
              <w:t>T</w:t>
            </w:r>
            <w:r w:rsidRPr="00F36D0B">
              <w:rPr>
                <w:color w:val="000000" w:themeColor="text1"/>
                <w:sz w:val="20"/>
                <w:szCs w:val="20"/>
              </w:rPr>
              <w:t>he Agency report the findings of the assessment to the OAIC, highlighting its findings as well as what steps the Agency will endeavour to take to ensure that any concerns arising from the assessment are promptly addressed.</w:t>
            </w:r>
          </w:p>
          <w:p w14:paraId="71056C7C" w14:textId="77777777" w:rsidR="00FF43B9" w:rsidRDefault="00FF43B9" w:rsidP="00FF43B9">
            <w:pPr>
              <w:autoSpaceDE w:val="0"/>
              <w:autoSpaceDN w:val="0"/>
              <w:adjustRightInd w:val="0"/>
              <w:spacing w:after="0" w:line="240" w:lineRule="auto"/>
              <w:rPr>
                <w:color w:val="000000" w:themeColor="text1"/>
                <w:sz w:val="20"/>
                <w:szCs w:val="20"/>
              </w:rPr>
            </w:pPr>
          </w:p>
          <w:p w14:paraId="7491F9B0"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lastRenderedPageBreak/>
              <w:t>Two suggestions made:</w:t>
            </w:r>
          </w:p>
          <w:p w14:paraId="755FCEBC" w14:textId="2FE94575" w:rsidR="00FF43B9" w:rsidRDefault="00FF43B9" w:rsidP="00FF43B9">
            <w:pPr>
              <w:pStyle w:val="ListParagraph"/>
              <w:numPr>
                <w:ilvl w:val="0"/>
                <w:numId w:val="54"/>
              </w:numPr>
              <w:autoSpaceDE w:val="0"/>
              <w:autoSpaceDN w:val="0"/>
              <w:adjustRightInd w:val="0"/>
              <w:spacing w:after="0" w:line="240" w:lineRule="auto"/>
              <w:rPr>
                <w:color w:val="000000" w:themeColor="text1"/>
                <w:sz w:val="20"/>
                <w:szCs w:val="20"/>
              </w:rPr>
            </w:pPr>
            <w:r>
              <w:rPr>
                <w:color w:val="000000" w:themeColor="text1"/>
                <w:sz w:val="20"/>
                <w:szCs w:val="20"/>
              </w:rPr>
              <w:t>A</w:t>
            </w:r>
            <w:r w:rsidRPr="006D0AA9">
              <w:rPr>
                <w:color w:val="000000" w:themeColor="text1"/>
                <w:sz w:val="20"/>
                <w:szCs w:val="20"/>
              </w:rPr>
              <w:t>s part of the above assessment, the Agency should also assess all PIA requests received between 5 May 2024 and 4 November 2024 to ensure that statutory timeframes are being complied with in accordance with the FOI Guidelines at [3.5]</w:t>
            </w:r>
            <w:r>
              <w:rPr>
                <w:color w:val="000000" w:themeColor="text1"/>
                <w:sz w:val="20"/>
                <w:szCs w:val="20"/>
              </w:rPr>
              <w:t>.</w:t>
            </w:r>
          </w:p>
          <w:p w14:paraId="565BA19E" w14:textId="77777777" w:rsidR="00FF43B9" w:rsidRPr="006D0AA9" w:rsidRDefault="00FF43B9" w:rsidP="00FF43B9">
            <w:pPr>
              <w:pStyle w:val="ListParagraph"/>
              <w:autoSpaceDE w:val="0"/>
              <w:autoSpaceDN w:val="0"/>
              <w:adjustRightInd w:val="0"/>
              <w:spacing w:after="0" w:line="240" w:lineRule="auto"/>
              <w:rPr>
                <w:color w:val="000000" w:themeColor="text1"/>
                <w:sz w:val="20"/>
                <w:szCs w:val="20"/>
              </w:rPr>
            </w:pPr>
          </w:p>
          <w:p w14:paraId="106B4890" w14:textId="441BFE71" w:rsidR="00FF43B9" w:rsidRPr="006D0AA9" w:rsidRDefault="00FF43B9" w:rsidP="00FF43B9">
            <w:pPr>
              <w:pStyle w:val="ListParagraph"/>
              <w:numPr>
                <w:ilvl w:val="0"/>
                <w:numId w:val="54"/>
              </w:numPr>
              <w:autoSpaceDE w:val="0"/>
              <w:autoSpaceDN w:val="0"/>
              <w:adjustRightInd w:val="0"/>
              <w:spacing w:after="0" w:line="240" w:lineRule="auto"/>
              <w:rPr>
                <w:color w:val="000000" w:themeColor="text1"/>
                <w:sz w:val="20"/>
                <w:szCs w:val="20"/>
              </w:rPr>
            </w:pPr>
            <w:r>
              <w:rPr>
                <w:color w:val="000000" w:themeColor="text1"/>
                <w:sz w:val="20"/>
                <w:szCs w:val="20"/>
              </w:rPr>
              <w:t>T</w:t>
            </w:r>
            <w:r w:rsidRPr="006D0AA9">
              <w:rPr>
                <w:color w:val="000000" w:themeColor="text1"/>
                <w:sz w:val="20"/>
                <w:szCs w:val="20"/>
              </w:rPr>
              <w:t xml:space="preserve">he Agency should look to improve its systems so that documents currently available through PIA requests are made directly downloadable; for example, through the Agency’s </w:t>
            </w:r>
            <w:proofErr w:type="spellStart"/>
            <w:r w:rsidRPr="006D0AA9">
              <w:rPr>
                <w:color w:val="000000" w:themeColor="text1"/>
                <w:sz w:val="20"/>
                <w:szCs w:val="20"/>
              </w:rPr>
              <w:t>myplace</w:t>
            </w:r>
            <w:proofErr w:type="spellEnd"/>
            <w:r w:rsidRPr="006D0AA9">
              <w:rPr>
                <w:color w:val="000000" w:themeColor="text1"/>
                <w:sz w:val="20"/>
                <w:szCs w:val="20"/>
              </w:rPr>
              <w:t xml:space="preserve"> Portal. This will reduce delays and also increase resources within the Agency to assist with processing FOI requests.</w:t>
            </w:r>
          </w:p>
          <w:p w14:paraId="68D1B93A" w14:textId="7B9210F4" w:rsidR="00FF43B9" w:rsidRPr="006D0AA9" w:rsidRDefault="00FF43B9" w:rsidP="00FF43B9">
            <w:pPr>
              <w:autoSpaceDE w:val="0"/>
              <w:autoSpaceDN w:val="0"/>
              <w:adjustRightInd w:val="0"/>
              <w:spacing w:after="0" w:line="240" w:lineRule="auto"/>
              <w:rPr>
                <w:color w:val="000000" w:themeColor="text1"/>
                <w:sz w:val="20"/>
                <w:szCs w:val="20"/>
              </w:rPr>
            </w:pPr>
          </w:p>
        </w:tc>
        <w:tc>
          <w:tcPr>
            <w:tcW w:w="2127" w:type="dxa"/>
          </w:tcPr>
          <w:p w14:paraId="50BBD62A" w14:textId="0A5E73D6" w:rsidR="00FF43B9" w:rsidRDefault="00FF43B9" w:rsidP="00FF43B9">
            <w:pPr>
              <w:rPr>
                <w:sz w:val="20"/>
                <w:szCs w:val="20"/>
              </w:rPr>
            </w:pPr>
            <w:r>
              <w:rPr>
                <w:sz w:val="20"/>
                <w:szCs w:val="20"/>
              </w:rPr>
              <w:lastRenderedPageBreak/>
              <w:t>Accepted; to implement.</w:t>
            </w:r>
          </w:p>
        </w:tc>
        <w:tc>
          <w:tcPr>
            <w:tcW w:w="1984" w:type="dxa"/>
          </w:tcPr>
          <w:p w14:paraId="5113D8E8" w14:textId="77777777" w:rsidR="00FF43B9" w:rsidRDefault="00FF43B9" w:rsidP="00FF43B9">
            <w:pPr>
              <w:rPr>
                <w:sz w:val="20"/>
                <w:szCs w:val="20"/>
              </w:rPr>
            </w:pPr>
          </w:p>
        </w:tc>
      </w:tr>
      <w:tr w:rsidR="00FF43B9" w:rsidRPr="00D94668" w14:paraId="6234BA0A" w14:textId="77777777" w:rsidTr="0086062E">
        <w:trPr>
          <w:trHeight w:val="917"/>
        </w:trPr>
        <w:tc>
          <w:tcPr>
            <w:tcW w:w="1888" w:type="dxa"/>
          </w:tcPr>
          <w:p w14:paraId="75BB51BA" w14:textId="4ED7AE33" w:rsidR="00FF43B9" w:rsidRDefault="00FF43B9" w:rsidP="00FF43B9">
            <w:pPr>
              <w:rPr>
                <w:color w:val="000000" w:themeColor="text1"/>
                <w:sz w:val="20"/>
                <w:szCs w:val="20"/>
              </w:rPr>
            </w:pPr>
            <w:r>
              <w:rPr>
                <w:color w:val="000000" w:themeColor="text1"/>
                <w:sz w:val="20"/>
                <w:szCs w:val="20"/>
              </w:rPr>
              <w:t>Department of Veterans’ Affairs</w:t>
            </w:r>
          </w:p>
        </w:tc>
        <w:tc>
          <w:tcPr>
            <w:tcW w:w="2223" w:type="dxa"/>
          </w:tcPr>
          <w:p w14:paraId="2E3B40A3" w14:textId="2C34BA33" w:rsidR="00FF43B9" w:rsidRDefault="00FF43B9" w:rsidP="00FF43B9">
            <w:pPr>
              <w:rPr>
                <w:color w:val="000000" w:themeColor="text1"/>
                <w:sz w:val="20"/>
                <w:szCs w:val="20"/>
              </w:rPr>
            </w:pPr>
            <w:r>
              <w:rPr>
                <w:color w:val="000000" w:themeColor="text1"/>
                <w:sz w:val="20"/>
                <w:szCs w:val="20"/>
              </w:rPr>
              <w:t>Whether the Department complied with statutory timeframes (s 15(5)(a))</w:t>
            </w:r>
          </w:p>
        </w:tc>
        <w:tc>
          <w:tcPr>
            <w:tcW w:w="1352" w:type="dxa"/>
          </w:tcPr>
          <w:p w14:paraId="322B6EA1" w14:textId="51E16648" w:rsidR="00FF43B9" w:rsidRDefault="00FF43B9" w:rsidP="00FF43B9">
            <w:pPr>
              <w:rPr>
                <w:color w:val="000000" w:themeColor="text1"/>
                <w:sz w:val="20"/>
                <w:szCs w:val="20"/>
              </w:rPr>
            </w:pPr>
            <w:r>
              <w:rPr>
                <w:color w:val="000000" w:themeColor="text1"/>
                <w:sz w:val="20"/>
                <w:szCs w:val="20"/>
              </w:rPr>
              <w:t>Non-personal</w:t>
            </w:r>
          </w:p>
        </w:tc>
        <w:tc>
          <w:tcPr>
            <w:tcW w:w="1483" w:type="dxa"/>
          </w:tcPr>
          <w:p w14:paraId="473FDFEB" w14:textId="32DF188F" w:rsidR="00FF43B9" w:rsidRDefault="00FF43B9" w:rsidP="00FF43B9">
            <w:pPr>
              <w:rPr>
                <w:color w:val="000000" w:themeColor="text1"/>
                <w:sz w:val="20"/>
                <w:szCs w:val="20"/>
              </w:rPr>
            </w:pPr>
            <w:r>
              <w:rPr>
                <w:color w:val="000000" w:themeColor="text1"/>
                <w:sz w:val="20"/>
                <w:szCs w:val="20"/>
              </w:rPr>
              <w:t>4 March 2024</w:t>
            </w:r>
          </w:p>
        </w:tc>
        <w:tc>
          <w:tcPr>
            <w:tcW w:w="4395" w:type="dxa"/>
          </w:tcPr>
          <w:p w14:paraId="429B1ECD" w14:textId="77777777" w:rsidR="00FF43B9" w:rsidRDefault="00FF43B9" w:rsidP="00FF43B9">
            <w:pPr>
              <w:rPr>
                <w:color w:val="000000" w:themeColor="text1"/>
                <w:sz w:val="20"/>
                <w:szCs w:val="20"/>
              </w:rPr>
            </w:pPr>
            <w:r>
              <w:rPr>
                <w:color w:val="000000" w:themeColor="text1"/>
                <w:sz w:val="20"/>
                <w:szCs w:val="20"/>
              </w:rPr>
              <w:t xml:space="preserve">The complaint was substantiated. </w:t>
            </w:r>
          </w:p>
          <w:p w14:paraId="787E1482" w14:textId="267CB6F2" w:rsidR="00FF43B9" w:rsidRDefault="00FF43B9" w:rsidP="00FF43B9">
            <w:pPr>
              <w:rPr>
                <w:color w:val="000000" w:themeColor="text1"/>
                <w:sz w:val="20"/>
                <w:szCs w:val="20"/>
              </w:rPr>
            </w:pPr>
            <w:r>
              <w:rPr>
                <w:color w:val="000000" w:themeColor="text1"/>
                <w:sz w:val="20"/>
                <w:szCs w:val="20"/>
              </w:rPr>
              <w:t>The Department acknowledged its failing, apologised to the complainant, and implemented a revised approach to ensure future compliance.</w:t>
            </w:r>
          </w:p>
        </w:tc>
        <w:tc>
          <w:tcPr>
            <w:tcW w:w="5811" w:type="dxa"/>
          </w:tcPr>
          <w:p w14:paraId="45A168B0"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One suggestion made:</w:t>
            </w:r>
          </w:p>
          <w:p w14:paraId="17E5ACC6" w14:textId="3A2FFCF5" w:rsidR="00FF43B9" w:rsidRPr="00C723E6" w:rsidRDefault="00FF43B9" w:rsidP="00FF43B9">
            <w:pPr>
              <w:pStyle w:val="ListParagraph"/>
              <w:numPr>
                <w:ilvl w:val="0"/>
                <w:numId w:val="55"/>
              </w:numPr>
              <w:autoSpaceDE w:val="0"/>
              <w:autoSpaceDN w:val="0"/>
              <w:adjustRightInd w:val="0"/>
              <w:spacing w:after="0" w:line="240" w:lineRule="auto"/>
              <w:rPr>
                <w:color w:val="000000" w:themeColor="text1"/>
                <w:sz w:val="20"/>
                <w:szCs w:val="20"/>
              </w:rPr>
            </w:pPr>
            <w:r>
              <w:rPr>
                <w:color w:val="000000" w:themeColor="text1"/>
                <w:sz w:val="20"/>
                <w:szCs w:val="20"/>
              </w:rPr>
              <w:t>Monitor through provision of weekly reports the Department’s adherence to statutory timeframes under the FOI Act.</w:t>
            </w:r>
          </w:p>
        </w:tc>
        <w:tc>
          <w:tcPr>
            <w:tcW w:w="2127" w:type="dxa"/>
          </w:tcPr>
          <w:p w14:paraId="6121F0FC" w14:textId="766F8B28" w:rsidR="00FF43B9" w:rsidRDefault="00FF43B9" w:rsidP="00FF43B9">
            <w:pPr>
              <w:rPr>
                <w:sz w:val="20"/>
                <w:szCs w:val="20"/>
              </w:rPr>
            </w:pPr>
            <w:r>
              <w:rPr>
                <w:sz w:val="20"/>
                <w:szCs w:val="20"/>
              </w:rPr>
              <w:t xml:space="preserve">Not applicable. </w:t>
            </w:r>
          </w:p>
        </w:tc>
        <w:tc>
          <w:tcPr>
            <w:tcW w:w="1984" w:type="dxa"/>
          </w:tcPr>
          <w:p w14:paraId="6E26D134" w14:textId="58FD55B1" w:rsidR="00FF43B9" w:rsidRDefault="00FF43B9" w:rsidP="00FF43B9">
            <w:pPr>
              <w:rPr>
                <w:sz w:val="20"/>
                <w:szCs w:val="20"/>
              </w:rPr>
            </w:pPr>
            <w:r>
              <w:rPr>
                <w:sz w:val="20"/>
                <w:szCs w:val="20"/>
              </w:rPr>
              <w:t xml:space="preserve">Not applicable. </w:t>
            </w:r>
          </w:p>
        </w:tc>
      </w:tr>
      <w:tr w:rsidR="00FF43B9" w:rsidRPr="00D94668" w14:paraId="6092A150" w14:textId="77777777" w:rsidTr="0086062E">
        <w:trPr>
          <w:trHeight w:val="917"/>
        </w:trPr>
        <w:tc>
          <w:tcPr>
            <w:tcW w:w="1888" w:type="dxa"/>
          </w:tcPr>
          <w:p w14:paraId="24EF2D14" w14:textId="10453410" w:rsidR="00FF43B9" w:rsidRDefault="00FF43B9" w:rsidP="00FF43B9">
            <w:pPr>
              <w:rPr>
                <w:color w:val="000000" w:themeColor="text1"/>
                <w:sz w:val="20"/>
                <w:szCs w:val="20"/>
              </w:rPr>
            </w:pPr>
            <w:r>
              <w:rPr>
                <w:color w:val="000000" w:themeColor="text1"/>
                <w:sz w:val="20"/>
                <w:szCs w:val="20"/>
              </w:rPr>
              <w:t>Department of Health and Aged Care</w:t>
            </w:r>
          </w:p>
        </w:tc>
        <w:tc>
          <w:tcPr>
            <w:tcW w:w="2223" w:type="dxa"/>
          </w:tcPr>
          <w:p w14:paraId="06A1316F" w14:textId="0748268C" w:rsidR="00FF43B9" w:rsidRDefault="00FF43B9" w:rsidP="00FF43B9">
            <w:pPr>
              <w:rPr>
                <w:color w:val="000000" w:themeColor="text1"/>
                <w:sz w:val="20"/>
                <w:szCs w:val="20"/>
              </w:rPr>
            </w:pPr>
            <w:r>
              <w:rPr>
                <w:color w:val="000000" w:themeColor="text1"/>
                <w:sz w:val="20"/>
                <w:szCs w:val="20"/>
              </w:rPr>
              <w:t>Whether the Department delayed in complying with a s 55K decision and providing the complainant with access to documents</w:t>
            </w:r>
          </w:p>
        </w:tc>
        <w:tc>
          <w:tcPr>
            <w:tcW w:w="1352" w:type="dxa"/>
          </w:tcPr>
          <w:p w14:paraId="70F228A4" w14:textId="6204D501" w:rsidR="00FF43B9" w:rsidRDefault="00FF43B9" w:rsidP="00FF43B9">
            <w:pPr>
              <w:rPr>
                <w:color w:val="000000" w:themeColor="text1"/>
                <w:sz w:val="20"/>
                <w:szCs w:val="20"/>
              </w:rPr>
            </w:pPr>
            <w:r>
              <w:rPr>
                <w:color w:val="000000" w:themeColor="text1"/>
                <w:sz w:val="20"/>
                <w:szCs w:val="20"/>
              </w:rPr>
              <w:t>Non-personal</w:t>
            </w:r>
          </w:p>
        </w:tc>
        <w:tc>
          <w:tcPr>
            <w:tcW w:w="1483" w:type="dxa"/>
          </w:tcPr>
          <w:p w14:paraId="150E1A0F" w14:textId="42C8F93A" w:rsidR="00FF43B9" w:rsidRDefault="00FF43B9" w:rsidP="00FF43B9">
            <w:pPr>
              <w:rPr>
                <w:color w:val="000000" w:themeColor="text1"/>
                <w:sz w:val="20"/>
                <w:szCs w:val="20"/>
              </w:rPr>
            </w:pPr>
            <w:r>
              <w:rPr>
                <w:color w:val="000000" w:themeColor="text1"/>
                <w:sz w:val="20"/>
                <w:szCs w:val="20"/>
              </w:rPr>
              <w:t>1 March 2024</w:t>
            </w:r>
          </w:p>
        </w:tc>
        <w:tc>
          <w:tcPr>
            <w:tcW w:w="4395" w:type="dxa"/>
          </w:tcPr>
          <w:p w14:paraId="254CDDF1" w14:textId="77777777" w:rsidR="00FF43B9" w:rsidRDefault="00FF43B9" w:rsidP="00FF43B9">
            <w:pPr>
              <w:rPr>
                <w:color w:val="000000" w:themeColor="text1"/>
                <w:sz w:val="20"/>
                <w:szCs w:val="20"/>
              </w:rPr>
            </w:pPr>
            <w:r>
              <w:rPr>
                <w:color w:val="000000" w:themeColor="text1"/>
                <w:sz w:val="20"/>
                <w:szCs w:val="20"/>
              </w:rPr>
              <w:t xml:space="preserve">The complaint was substantiated. </w:t>
            </w:r>
          </w:p>
          <w:p w14:paraId="590A7C4D" w14:textId="53F97D68" w:rsidR="00FF43B9" w:rsidRDefault="00FF43B9" w:rsidP="00FF43B9">
            <w:pPr>
              <w:rPr>
                <w:color w:val="000000" w:themeColor="text1"/>
                <w:sz w:val="20"/>
                <w:szCs w:val="20"/>
              </w:rPr>
            </w:pPr>
            <w:r>
              <w:rPr>
                <w:color w:val="000000" w:themeColor="text1"/>
                <w:sz w:val="20"/>
                <w:szCs w:val="20"/>
              </w:rPr>
              <w:t>The Department acknowledges that it failed to inform the complainant of the delays or issues in meeting the timeframe. The Department had taken numerous steps to improve its FOI processes since August 2021, including a comprehensive review of the FOI processes, procedures and resourcing, provision of training to all FOI officers, and a recruitment drive. It acknowledges that it could develop policies and guidelines for responding to s 55K decisions.</w:t>
            </w:r>
          </w:p>
        </w:tc>
        <w:tc>
          <w:tcPr>
            <w:tcW w:w="5811" w:type="dxa"/>
          </w:tcPr>
          <w:p w14:paraId="24B4E52F" w14:textId="285F81C2"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 xml:space="preserve"> Three suggestions made:</w:t>
            </w:r>
          </w:p>
          <w:p w14:paraId="0CB1AFFD" w14:textId="77777777" w:rsidR="00FF43B9" w:rsidRDefault="00FF43B9" w:rsidP="00FF43B9">
            <w:pPr>
              <w:pStyle w:val="ListParagraph"/>
              <w:numPr>
                <w:ilvl w:val="0"/>
                <w:numId w:val="56"/>
              </w:numPr>
              <w:autoSpaceDE w:val="0"/>
              <w:autoSpaceDN w:val="0"/>
              <w:adjustRightInd w:val="0"/>
              <w:spacing w:after="0" w:line="240" w:lineRule="auto"/>
              <w:rPr>
                <w:color w:val="000000" w:themeColor="text1"/>
                <w:sz w:val="20"/>
                <w:szCs w:val="20"/>
              </w:rPr>
            </w:pPr>
            <w:r>
              <w:rPr>
                <w:color w:val="000000" w:themeColor="text1"/>
                <w:sz w:val="20"/>
                <w:szCs w:val="20"/>
              </w:rPr>
              <w:t>Where the Department anticipates that it may be unable to meet the statutory timeframe, especially after completion of an IC review, the Department should engage with the applicant as soon as possible to communicate the delay and assure the applicant that the agency remains committed to continuing to process the request as soon as possible.</w:t>
            </w:r>
          </w:p>
          <w:p w14:paraId="6A1D1AAA" w14:textId="75DD57F1" w:rsidR="00FF43B9" w:rsidRDefault="00FF43B9" w:rsidP="00FF43B9">
            <w:pPr>
              <w:pStyle w:val="ListParagraph"/>
              <w:numPr>
                <w:ilvl w:val="0"/>
                <w:numId w:val="56"/>
              </w:numPr>
              <w:autoSpaceDE w:val="0"/>
              <w:autoSpaceDN w:val="0"/>
              <w:adjustRightInd w:val="0"/>
              <w:spacing w:after="0" w:line="240" w:lineRule="auto"/>
              <w:rPr>
                <w:color w:val="000000" w:themeColor="text1"/>
                <w:sz w:val="20"/>
                <w:szCs w:val="20"/>
              </w:rPr>
            </w:pPr>
            <w:r>
              <w:rPr>
                <w:color w:val="000000" w:themeColor="text1"/>
                <w:sz w:val="20"/>
                <w:szCs w:val="20"/>
              </w:rPr>
              <w:t>Where an incorrect FOI decision has been made, the Department should endeavour to engage with the applicant by telephone prior to sending the corrected decision to provide the applicant with further information and assistance to promote the object of the FOI Act.</w:t>
            </w:r>
          </w:p>
          <w:p w14:paraId="024F816D" w14:textId="5E080CBB" w:rsidR="00FF43B9" w:rsidRPr="00BA289B" w:rsidRDefault="00FF43B9" w:rsidP="00FF43B9">
            <w:pPr>
              <w:pStyle w:val="ListParagraph"/>
              <w:numPr>
                <w:ilvl w:val="0"/>
                <w:numId w:val="56"/>
              </w:numPr>
              <w:autoSpaceDE w:val="0"/>
              <w:autoSpaceDN w:val="0"/>
              <w:adjustRightInd w:val="0"/>
              <w:spacing w:after="0" w:line="240" w:lineRule="auto"/>
              <w:rPr>
                <w:color w:val="000000" w:themeColor="text1"/>
                <w:sz w:val="20"/>
                <w:szCs w:val="20"/>
              </w:rPr>
            </w:pPr>
            <w:r>
              <w:rPr>
                <w:color w:val="000000" w:themeColor="text1"/>
                <w:sz w:val="20"/>
                <w:szCs w:val="20"/>
              </w:rPr>
              <w:t>Where the Department has been unable to meet the statutory timeframe, the Department should ensure that correspondence to the applicant clearly reflects this and includes the appropriate review rights.</w:t>
            </w:r>
          </w:p>
        </w:tc>
        <w:tc>
          <w:tcPr>
            <w:tcW w:w="2127" w:type="dxa"/>
          </w:tcPr>
          <w:p w14:paraId="3F24D1D8" w14:textId="1B3F5094" w:rsidR="00FF43B9" w:rsidRDefault="00FF43B9" w:rsidP="00FF43B9">
            <w:pPr>
              <w:rPr>
                <w:sz w:val="20"/>
                <w:szCs w:val="20"/>
              </w:rPr>
            </w:pPr>
            <w:r>
              <w:rPr>
                <w:sz w:val="20"/>
                <w:szCs w:val="20"/>
              </w:rPr>
              <w:t xml:space="preserve">Not applicable. </w:t>
            </w:r>
          </w:p>
        </w:tc>
        <w:tc>
          <w:tcPr>
            <w:tcW w:w="1984" w:type="dxa"/>
          </w:tcPr>
          <w:p w14:paraId="02931B80" w14:textId="2A055850" w:rsidR="00FF43B9" w:rsidRDefault="00FF43B9" w:rsidP="00FF43B9">
            <w:pPr>
              <w:rPr>
                <w:sz w:val="20"/>
                <w:szCs w:val="20"/>
              </w:rPr>
            </w:pPr>
            <w:r>
              <w:rPr>
                <w:sz w:val="20"/>
                <w:szCs w:val="20"/>
              </w:rPr>
              <w:t xml:space="preserve">Not applicable. </w:t>
            </w:r>
          </w:p>
        </w:tc>
      </w:tr>
      <w:tr w:rsidR="00FF43B9" w:rsidRPr="00D94668" w14:paraId="1C8A0E16" w14:textId="77777777" w:rsidTr="0086062E">
        <w:trPr>
          <w:trHeight w:val="917"/>
        </w:trPr>
        <w:tc>
          <w:tcPr>
            <w:tcW w:w="1888" w:type="dxa"/>
          </w:tcPr>
          <w:p w14:paraId="03C5C51B" w14:textId="7F1DA25F" w:rsidR="00FF43B9" w:rsidRDefault="00FF43B9" w:rsidP="00FF43B9">
            <w:pPr>
              <w:rPr>
                <w:color w:val="000000" w:themeColor="text1"/>
                <w:sz w:val="20"/>
                <w:szCs w:val="20"/>
              </w:rPr>
            </w:pPr>
            <w:r>
              <w:rPr>
                <w:color w:val="000000" w:themeColor="text1"/>
                <w:sz w:val="20"/>
                <w:szCs w:val="20"/>
              </w:rPr>
              <w:t>Department of Health and Aged Care</w:t>
            </w:r>
          </w:p>
        </w:tc>
        <w:tc>
          <w:tcPr>
            <w:tcW w:w="2223" w:type="dxa"/>
          </w:tcPr>
          <w:p w14:paraId="552742F2" w14:textId="404A3AC4" w:rsidR="00FF43B9" w:rsidRDefault="00FF43B9" w:rsidP="00FF43B9">
            <w:pPr>
              <w:rPr>
                <w:color w:val="000000" w:themeColor="text1"/>
                <w:sz w:val="20"/>
                <w:szCs w:val="20"/>
              </w:rPr>
            </w:pPr>
            <w:r>
              <w:rPr>
                <w:color w:val="000000" w:themeColor="text1"/>
                <w:sz w:val="20"/>
                <w:szCs w:val="20"/>
              </w:rPr>
              <w:t>Whether the Department took reasonable steps to ensure it understood the scope of the complainant’s request, particularly as part of the internal review process</w:t>
            </w:r>
          </w:p>
        </w:tc>
        <w:tc>
          <w:tcPr>
            <w:tcW w:w="1352" w:type="dxa"/>
          </w:tcPr>
          <w:p w14:paraId="5E402936" w14:textId="5FDDB305" w:rsidR="00FF43B9" w:rsidRDefault="00FF43B9" w:rsidP="00FF43B9">
            <w:pPr>
              <w:rPr>
                <w:color w:val="000000" w:themeColor="text1"/>
                <w:sz w:val="20"/>
                <w:szCs w:val="20"/>
              </w:rPr>
            </w:pPr>
            <w:r>
              <w:rPr>
                <w:color w:val="000000" w:themeColor="text1"/>
                <w:sz w:val="20"/>
                <w:szCs w:val="20"/>
              </w:rPr>
              <w:t>Non-personal</w:t>
            </w:r>
          </w:p>
        </w:tc>
        <w:tc>
          <w:tcPr>
            <w:tcW w:w="1483" w:type="dxa"/>
          </w:tcPr>
          <w:p w14:paraId="5E79DAA7" w14:textId="4D2B2D75" w:rsidR="00FF43B9" w:rsidRDefault="00FF43B9" w:rsidP="00FF43B9">
            <w:pPr>
              <w:rPr>
                <w:color w:val="000000" w:themeColor="text1"/>
                <w:sz w:val="20"/>
                <w:szCs w:val="20"/>
              </w:rPr>
            </w:pPr>
            <w:r>
              <w:rPr>
                <w:color w:val="000000" w:themeColor="text1"/>
                <w:sz w:val="20"/>
                <w:szCs w:val="20"/>
              </w:rPr>
              <w:t>28 February 2024</w:t>
            </w:r>
          </w:p>
        </w:tc>
        <w:tc>
          <w:tcPr>
            <w:tcW w:w="4395" w:type="dxa"/>
          </w:tcPr>
          <w:p w14:paraId="03C610F0" w14:textId="69934774" w:rsidR="00FF43B9" w:rsidRDefault="00FF43B9" w:rsidP="00FF43B9">
            <w:pPr>
              <w:rPr>
                <w:color w:val="000000" w:themeColor="text1"/>
                <w:sz w:val="20"/>
                <w:szCs w:val="20"/>
              </w:rPr>
            </w:pPr>
            <w:r>
              <w:rPr>
                <w:color w:val="000000" w:themeColor="text1"/>
                <w:sz w:val="20"/>
                <w:szCs w:val="20"/>
              </w:rPr>
              <w:t>The complaint was substantiated.</w:t>
            </w:r>
          </w:p>
        </w:tc>
        <w:tc>
          <w:tcPr>
            <w:tcW w:w="5811" w:type="dxa"/>
          </w:tcPr>
          <w:p w14:paraId="48C27DD8" w14:textId="083EC62E"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 recommendations made:</w:t>
            </w:r>
          </w:p>
          <w:p w14:paraId="29F81BD3" w14:textId="77777777" w:rsidR="00FF43B9" w:rsidRPr="00514262" w:rsidRDefault="00FF43B9" w:rsidP="00FF43B9">
            <w:pPr>
              <w:pStyle w:val="ListParagraph"/>
              <w:numPr>
                <w:ilvl w:val="0"/>
                <w:numId w:val="57"/>
              </w:numPr>
              <w:autoSpaceDE w:val="0"/>
              <w:autoSpaceDN w:val="0"/>
              <w:adjustRightInd w:val="0"/>
              <w:spacing w:after="0" w:line="240" w:lineRule="auto"/>
              <w:rPr>
                <w:color w:val="000000" w:themeColor="text1"/>
                <w:sz w:val="20"/>
                <w:szCs w:val="20"/>
              </w:rPr>
            </w:pPr>
            <w:r w:rsidRPr="006335FC">
              <w:rPr>
                <w:color w:val="000000" w:themeColor="text1"/>
                <w:sz w:val="20"/>
                <w:szCs w:val="20"/>
              </w:rPr>
              <w:t xml:space="preserve">As part of the assessment in respect of the Notice of completion of 22 January 2024, </w:t>
            </w:r>
            <w:r w:rsidRPr="00514262">
              <w:rPr>
                <w:color w:val="000000" w:themeColor="text1"/>
                <w:sz w:val="20"/>
                <w:szCs w:val="20"/>
              </w:rPr>
              <w:t>the Department’s FOI area also assess whether the changes to the Department’s practices and procedures have been effective in ensuring better compliance with the FOI Act and the Guidelines issued under s 93A of the FOI Act (FOI Guidelines), with a particular focus on the Department’s internal review processing being a fresh and independent determination of the request. This includes:</w:t>
            </w:r>
          </w:p>
          <w:p w14:paraId="2E503596" w14:textId="77777777" w:rsidR="00FF43B9" w:rsidRPr="00514262" w:rsidRDefault="00FF43B9" w:rsidP="00FF43B9">
            <w:pPr>
              <w:pStyle w:val="ListParagraph"/>
              <w:numPr>
                <w:ilvl w:val="1"/>
                <w:numId w:val="46"/>
              </w:numPr>
              <w:autoSpaceDE w:val="0"/>
              <w:autoSpaceDN w:val="0"/>
              <w:adjustRightInd w:val="0"/>
              <w:spacing w:after="0" w:line="240" w:lineRule="auto"/>
              <w:rPr>
                <w:color w:val="000000" w:themeColor="text1"/>
                <w:sz w:val="20"/>
                <w:szCs w:val="20"/>
              </w:rPr>
            </w:pPr>
            <w:r w:rsidRPr="00514262">
              <w:rPr>
                <w:color w:val="000000" w:themeColor="text1"/>
                <w:sz w:val="20"/>
                <w:szCs w:val="20"/>
              </w:rPr>
              <w:t>the internal review decision-maker ensuring that the scope of the request has been properly understood and, if not, liaising further with the applicant,</w:t>
            </w:r>
          </w:p>
          <w:p w14:paraId="56247D5A" w14:textId="77777777" w:rsidR="00FF43B9" w:rsidRPr="00514262" w:rsidRDefault="00FF43B9" w:rsidP="00FF43B9">
            <w:pPr>
              <w:pStyle w:val="ListParagraph"/>
              <w:numPr>
                <w:ilvl w:val="1"/>
                <w:numId w:val="46"/>
              </w:numPr>
              <w:autoSpaceDE w:val="0"/>
              <w:autoSpaceDN w:val="0"/>
              <w:adjustRightInd w:val="0"/>
              <w:spacing w:after="0" w:line="240" w:lineRule="auto"/>
              <w:rPr>
                <w:color w:val="000000" w:themeColor="text1"/>
                <w:sz w:val="20"/>
                <w:szCs w:val="20"/>
              </w:rPr>
            </w:pPr>
            <w:r w:rsidRPr="00514262">
              <w:rPr>
                <w:color w:val="000000" w:themeColor="text1"/>
                <w:sz w:val="20"/>
                <w:szCs w:val="20"/>
              </w:rPr>
              <w:lastRenderedPageBreak/>
              <w:t>the internal review decision-maker being satisfied that the appropriate procedural steps have been followed by the original decision-maker (such as internally liaising with the appropriate departmental staff, appropriate searches have been undertaken, proper sampling has been undertaken where appropriate, consulting with the applicant where appropriate, documentation has been recorded of the processes, etc.) and if not, ensuring that these steps are undertaken, and</w:t>
            </w:r>
          </w:p>
          <w:p w14:paraId="50E9D8EF" w14:textId="77777777" w:rsidR="00FF43B9" w:rsidRPr="00514262" w:rsidRDefault="00FF43B9" w:rsidP="00FF43B9">
            <w:pPr>
              <w:pStyle w:val="ListParagraph"/>
              <w:numPr>
                <w:ilvl w:val="1"/>
                <w:numId w:val="46"/>
              </w:numPr>
              <w:autoSpaceDE w:val="0"/>
              <w:autoSpaceDN w:val="0"/>
              <w:adjustRightInd w:val="0"/>
              <w:spacing w:after="0" w:line="240" w:lineRule="auto"/>
              <w:rPr>
                <w:color w:val="000000" w:themeColor="text1"/>
                <w:sz w:val="20"/>
                <w:szCs w:val="20"/>
              </w:rPr>
            </w:pPr>
            <w:r w:rsidRPr="00514262">
              <w:rPr>
                <w:color w:val="000000" w:themeColor="text1"/>
                <w:sz w:val="20"/>
                <w:szCs w:val="20"/>
              </w:rPr>
              <w:t>the internal review decision-maker seeks further information from the applicant, or third parties, where appropriate, and</w:t>
            </w:r>
          </w:p>
          <w:p w14:paraId="3634309A" w14:textId="77777777" w:rsidR="00FF43B9" w:rsidRPr="00514262" w:rsidRDefault="00FF43B9" w:rsidP="00FF43B9">
            <w:pPr>
              <w:pStyle w:val="ListParagraph"/>
              <w:numPr>
                <w:ilvl w:val="1"/>
                <w:numId w:val="46"/>
              </w:numPr>
              <w:autoSpaceDE w:val="0"/>
              <w:autoSpaceDN w:val="0"/>
              <w:adjustRightInd w:val="0"/>
              <w:spacing w:after="0" w:line="240" w:lineRule="auto"/>
              <w:rPr>
                <w:color w:val="000000" w:themeColor="text1"/>
                <w:sz w:val="20"/>
                <w:szCs w:val="20"/>
              </w:rPr>
            </w:pPr>
            <w:r w:rsidRPr="00514262">
              <w:rPr>
                <w:color w:val="000000" w:themeColor="text1"/>
                <w:sz w:val="20"/>
                <w:szCs w:val="20"/>
              </w:rPr>
              <w:t>the internal review decision-maker is satisfied that they are making the correct and preferable decision.</w:t>
            </w:r>
          </w:p>
          <w:p w14:paraId="6084799D" w14:textId="1E45D093" w:rsidR="00FF43B9" w:rsidRPr="00514262" w:rsidRDefault="00FF43B9" w:rsidP="00FF43B9">
            <w:pPr>
              <w:pStyle w:val="ListParagraph"/>
              <w:numPr>
                <w:ilvl w:val="0"/>
                <w:numId w:val="57"/>
              </w:numPr>
              <w:autoSpaceDE w:val="0"/>
              <w:autoSpaceDN w:val="0"/>
              <w:adjustRightInd w:val="0"/>
              <w:spacing w:after="0" w:line="240" w:lineRule="auto"/>
            </w:pPr>
            <w:r w:rsidRPr="00514262">
              <w:rPr>
                <w:color w:val="000000" w:themeColor="text1"/>
                <w:sz w:val="20"/>
                <w:szCs w:val="20"/>
              </w:rPr>
              <w:t>As soon as practicable, but no later than 2 weeks after the assessment, the Department report the results of the assessment referred to in paragraph (a) to the OAIC.</w:t>
            </w:r>
          </w:p>
        </w:tc>
        <w:tc>
          <w:tcPr>
            <w:tcW w:w="2127" w:type="dxa"/>
          </w:tcPr>
          <w:p w14:paraId="553A5F3D" w14:textId="000F8A7F" w:rsidR="00FF43B9" w:rsidRDefault="005D3F23" w:rsidP="00FF43B9">
            <w:pPr>
              <w:rPr>
                <w:sz w:val="20"/>
                <w:szCs w:val="20"/>
              </w:rPr>
            </w:pPr>
            <w:r>
              <w:rPr>
                <w:sz w:val="20"/>
                <w:szCs w:val="20"/>
              </w:rPr>
              <w:lastRenderedPageBreak/>
              <w:t>Recommendations i</w:t>
            </w:r>
            <w:r w:rsidR="00FA54DD">
              <w:rPr>
                <w:sz w:val="20"/>
                <w:szCs w:val="20"/>
              </w:rPr>
              <w:t>mplemented</w:t>
            </w:r>
          </w:p>
        </w:tc>
        <w:tc>
          <w:tcPr>
            <w:tcW w:w="1984" w:type="dxa"/>
          </w:tcPr>
          <w:p w14:paraId="3B6493E2" w14:textId="6791F324" w:rsidR="00FF43B9" w:rsidRDefault="00FA54DD" w:rsidP="00FF43B9">
            <w:pPr>
              <w:rPr>
                <w:sz w:val="20"/>
                <w:szCs w:val="20"/>
              </w:rPr>
            </w:pPr>
            <w:r>
              <w:rPr>
                <w:sz w:val="20"/>
                <w:szCs w:val="20"/>
              </w:rPr>
              <w:t xml:space="preserve">No </w:t>
            </w:r>
            <w:r w:rsidR="005D3F23">
              <w:rPr>
                <w:sz w:val="20"/>
                <w:szCs w:val="20"/>
              </w:rPr>
              <w:t>further</w:t>
            </w:r>
            <w:r>
              <w:rPr>
                <w:sz w:val="20"/>
                <w:szCs w:val="20"/>
              </w:rPr>
              <w:t xml:space="preserve"> action</w:t>
            </w:r>
          </w:p>
        </w:tc>
      </w:tr>
      <w:tr w:rsidR="00FF43B9" w:rsidRPr="00D94668" w14:paraId="5060BADB" w14:textId="77777777" w:rsidTr="0086062E">
        <w:trPr>
          <w:trHeight w:val="917"/>
        </w:trPr>
        <w:tc>
          <w:tcPr>
            <w:tcW w:w="1888" w:type="dxa"/>
          </w:tcPr>
          <w:p w14:paraId="76A9E237" w14:textId="43C4434A" w:rsidR="00FF43B9" w:rsidRDefault="00FF43B9" w:rsidP="00FF43B9">
            <w:pPr>
              <w:rPr>
                <w:color w:val="000000" w:themeColor="text1"/>
                <w:sz w:val="20"/>
                <w:szCs w:val="20"/>
              </w:rPr>
            </w:pPr>
            <w:r>
              <w:rPr>
                <w:color w:val="000000" w:themeColor="text1"/>
                <w:sz w:val="20"/>
                <w:szCs w:val="20"/>
              </w:rPr>
              <w:t>Department of Health and Aged Care</w:t>
            </w:r>
          </w:p>
        </w:tc>
        <w:tc>
          <w:tcPr>
            <w:tcW w:w="2223" w:type="dxa"/>
          </w:tcPr>
          <w:p w14:paraId="6E5850D6" w14:textId="79727CA4" w:rsidR="00FF43B9" w:rsidRDefault="00FF43B9" w:rsidP="00FF43B9">
            <w:pPr>
              <w:rPr>
                <w:color w:val="000000" w:themeColor="text1"/>
                <w:sz w:val="20"/>
                <w:szCs w:val="20"/>
              </w:rPr>
            </w:pPr>
            <w:r>
              <w:rPr>
                <w:color w:val="000000" w:themeColor="text1"/>
                <w:sz w:val="20"/>
                <w:szCs w:val="20"/>
              </w:rPr>
              <w:t>Whether the Department took reasonable steps to assist the complainant revise the request so that the practical refusal reason no longer existed</w:t>
            </w:r>
          </w:p>
        </w:tc>
        <w:tc>
          <w:tcPr>
            <w:tcW w:w="1352" w:type="dxa"/>
          </w:tcPr>
          <w:p w14:paraId="4D22217F" w14:textId="00C9ED30" w:rsidR="00FF43B9" w:rsidRDefault="00FF43B9" w:rsidP="00FF43B9">
            <w:pPr>
              <w:rPr>
                <w:color w:val="000000" w:themeColor="text1"/>
                <w:sz w:val="20"/>
                <w:szCs w:val="20"/>
              </w:rPr>
            </w:pPr>
            <w:r>
              <w:rPr>
                <w:color w:val="000000" w:themeColor="text1"/>
                <w:sz w:val="20"/>
                <w:szCs w:val="20"/>
              </w:rPr>
              <w:t>Non-personal</w:t>
            </w:r>
          </w:p>
        </w:tc>
        <w:tc>
          <w:tcPr>
            <w:tcW w:w="1483" w:type="dxa"/>
          </w:tcPr>
          <w:p w14:paraId="316BD370" w14:textId="30CD27CB" w:rsidR="00FF43B9" w:rsidRDefault="00FF43B9" w:rsidP="00FF43B9">
            <w:pPr>
              <w:rPr>
                <w:color w:val="000000" w:themeColor="text1"/>
                <w:sz w:val="20"/>
                <w:szCs w:val="20"/>
              </w:rPr>
            </w:pPr>
            <w:r>
              <w:rPr>
                <w:color w:val="000000" w:themeColor="text1"/>
                <w:sz w:val="20"/>
                <w:szCs w:val="20"/>
              </w:rPr>
              <w:t>28 February 2024</w:t>
            </w:r>
          </w:p>
        </w:tc>
        <w:tc>
          <w:tcPr>
            <w:tcW w:w="4395" w:type="dxa"/>
          </w:tcPr>
          <w:p w14:paraId="109B4269" w14:textId="7D321E34" w:rsidR="00FF43B9" w:rsidRDefault="00FF43B9" w:rsidP="00FF43B9">
            <w:pPr>
              <w:rPr>
                <w:color w:val="000000" w:themeColor="text1"/>
                <w:sz w:val="20"/>
                <w:szCs w:val="20"/>
              </w:rPr>
            </w:pPr>
            <w:r>
              <w:rPr>
                <w:color w:val="000000" w:themeColor="text1"/>
                <w:sz w:val="20"/>
                <w:szCs w:val="20"/>
              </w:rPr>
              <w:t>The complaint was substantiated.</w:t>
            </w:r>
          </w:p>
        </w:tc>
        <w:tc>
          <w:tcPr>
            <w:tcW w:w="5811" w:type="dxa"/>
          </w:tcPr>
          <w:p w14:paraId="0ED80FC3" w14:textId="1619B480"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 xml:space="preserve">No recommendations were made. </w:t>
            </w:r>
          </w:p>
          <w:p w14:paraId="659947A8" w14:textId="21387B1F"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The recommendations made to the Department on 22 January 2024 (see below) adequately address the identified deficiencies specific to this complaint. Therefore, no further formal recommendations were made in response to this complaint.</w:t>
            </w:r>
          </w:p>
          <w:p w14:paraId="7494A8A1" w14:textId="77777777" w:rsidR="00FF43B9" w:rsidRDefault="00FF43B9" w:rsidP="00FF43B9">
            <w:pPr>
              <w:autoSpaceDE w:val="0"/>
              <w:autoSpaceDN w:val="0"/>
              <w:adjustRightInd w:val="0"/>
              <w:spacing w:after="0" w:line="240" w:lineRule="auto"/>
              <w:rPr>
                <w:color w:val="000000" w:themeColor="text1"/>
                <w:sz w:val="20"/>
                <w:szCs w:val="20"/>
              </w:rPr>
            </w:pPr>
          </w:p>
          <w:p w14:paraId="2F4F7E01" w14:textId="6BC81253"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The OAIC will monitor compliance in response to Notice on completion of 22 January 2024.</w:t>
            </w:r>
          </w:p>
        </w:tc>
        <w:tc>
          <w:tcPr>
            <w:tcW w:w="2127" w:type="dxa"/>
          </w:tcPr>
          <w:p w14:paraId="17A1A742" w14:textId="2E7BD126" w:rsidR="00FF43B9" w:rsidRDefault="00FF43B9" w:rsidP="00FF43B9">
            <w:pPr>
              <w:rPr>
                <w:sz w:val="20"/>
                <w:szCs w:val="20"/>
              </w:rPr>
            </w:pPr>
            <w:r>
              <w:rPr>
                <w:sz w:val="20"/>
                <w:szCs w:val="20"/>
              </w:rPr>
              <w:t>Not applicable.</w:t>
            </w:r>
          </w:p>
        </w:tc>
        <w:tc>
          <w:tcPr>
            <w:tcW w:w="1984" w:type="dxa"/>
          </w:tcPr>
          <w:p w14:paraId="2F9A5FFA" w14:textId="42D11E51" w:rsidR="00FF43B9" w:rsidRDefault="00FF43B9" w:rsidP="00FF43B9">
            <w:pPr>
              <w:rPr>
                <w:sz w:val="20"/>
                <w:szCs w:val="20"/>
              </w:rPr>
            </w:pPr>
            <w:r>
              <w:rPr>
                <w:sz w:val="20"/>
                <w:szCs w:val="20"/>
              </w:rPr>
              <w:t>Not applicable.</w:t>
            </w:r>
          </w:p>
        </w:tc>
      </w:tr>
      <w:tr w:rsidR="00FF43B9" w:rsidRPr="00D94668" w14:paraId="038ABC67" w14:textId="77777777" w:rsidTr="0086062E">
        <w:trPr>
          <w:trHeight w:val="917"/>
        </w:trPr>
        <w:tc>
          <w:tcPr>
            <w:tcW w:w="1888" w:type="dxa"/>
          </w:tcPr>
          <w:p w14:paraId="42A7C5DE" w14:textId="486C85A1" w:rsidR="00FF43B9" w:rsidRDefault="00FF43B9" w:rsidP="00FF43B9">
            <w:pPr>
              <w:rPr>
                <w:color w:val="000000" w:themeColor="text1"/>
                <w:sz w:val="20"/>
                <w:szCs w:val="20"/>
              </w:rPr>
            </w:pPr>
            <w:r>
              <w:rPr>
                <w:color w:val="000000" w:themeColor="text1"/>
                <w:sz w:val="20"/>
                <w:szCs w:val="20"/>
              </w:rPr>
              <w:t>Comcare</w:t>
            </w:r>
          </w:p>
        </w:tc>
        <w:tc>
          <w:tcPr>
            <w:tcW w:w="2223" w:type="dxa"/>
          </w:tcPr>
          <w:p w14:paraId="4D9221E0" w14:textId="77777777" w:rsidR="00FF43B9" w:rsidRDefault="00FF43B9" w:rsidP="00FF43B9">
            <w:pPr>
              <w:rPr>
                <w:color w:val="000000" w:themeColor="text1"/>
                <w:sz w:val="20"/>
                <w:szCs w:val="20"/>
              </w:rPr>
            </w:pPr>
            <w:r>
              <w:rPr>
                <w:color w:val="000000" w:themeColor="text1"/>
                <w:sz w:val="20"/>
                <w:szCs w:val="20"/>
              </w:rPr>
              <w:t>Whether Comcare should have notified the Information Commissioner of its request for an extension of time</w:t>
            </w:r>
          </w:p>
          <w:p w14:paraId="245596A1" w14:textId="1627F13D" w:rsidR="00FF43B9" w:rsidRDefault="00FF43B9" w:rsidP="00FF43B9">
            <w:pPr>
              <w:rPr>
                <w:color w:val="000000" w:themeColor="text1"/>
                <w:sz w:val="20"/>
                <w:szCs w:val="20"/>
              </w:rPr>
            </w:pPr>
            <w:r>
              <w:rPr>
                <w:color w:val="000000" w:themeColor="text1"/>
                <w:sz w:val="20"/>
                <w:szCs w:val="20"/>
              </w:rPr>
              <w:t>Whether Comcare followed proper procedures in issuing the Charges Notice in respect of only a portion of the request</w:t>
            </w:r>
          </w:p>
          <w:p w14:paraId="395EBC87" w14:textId="7569F0D9" w:rsidR="00FF43B9" w:rsidRDefault="00FF43B9" w:rsidP="00FF43B9">
            <w:pPr>
              <w:rPr>
                <w:color w:val="000000" w:themeColor="text1"/>
                <w:sz w:val="20"/>
                <w:szCs w:val="20"/>
              </w:rPr>
            </w:pPr>
            <w:r>
              <w:rPr>
                <w:color w:val="000000" w:themeColor="text1"/>
                <w:sz w:val="20"/>
                <w:szCs w:val="20"/>
              </w:rPr>
              <w:t xml:space="preserve">Whether Comcare adequately communicated with the </w:t>
            </w:r>
            <w:r>
              <w:rPr>
                <w:color w:val="000000" w:themeColor="text1"/>
                <w:sz w:val="20"/>
                <w:szCs w:val="20"/>
              </w:rPr>
              <w:lastRenderedPageBreak/>
              <w:t>complainant regarding the Charges Notice</w:t>
            </w:r>
          </w:p>
        </w:tc>
        <w:tc>
          <w:tcPr>
            <w:tcW w:w="1352" w:type="dxa"/>
          </w:tcPr>
          <w:p w14:paraId="02734995" w14:textId="228D7F4C" w:rsidR="00FF43B9" w:rsidRDefault="00FF43B9" w:rsidP="00FF43B9">
            <w:pPr>
              <w:rPr>
                <w:color w:val="000000" w:themeColor="text1"/>
                <w:sz w:val="20"/>
                <w:szCs w:val="20"/>
              </w:rPr>
            </w:pPr>
            <w:r>
              <w:rPr>
                <w:color w:val="000000" w:themeColor="text1"/>
                <w:sz w:val="20"/>
                <w:szCs w:val="20"/>
              </w:rPr>
              <w:lastRenderedPageBreak/>
              <w:t>Non-personal</w:t>
            </w:r>
          </w:p>
        </w:tc>
        <w:tc>
          <w:tcPr>
            <w:tcW w:w="1483" w:type="dxa"/>
          </w:tcPr>
          <w:p w14:paraId="1BDA97FF" w14:textId="0EB66387" w:rsidR="00FF43B9" w:rsidRDefault="00FF43B9" w:rsidP="00FF43B9">
            <w:pPr>
              <w:rPr>
                <w:color w:val="000000" w:themeColor="text1"/>
                <w:sz w:val="20"/>
                <w:szCs w:val="20"/>
              </w:rPr>
            </w:pPr>
            <w:r>
              <w:rPr>
                <w:color w:val="000000" w:themeColor="text1"/>
                <w:sz w:val="20"/>
                <w:szCs w:val="20"/>
              </w:rPr>
              <w:t>27 February 2024</w:t>
            </w:r>
          </w:p>
        </w:tc>
        <w:tc>
          <w:tcPr>
            <w:tcW w:w="4395" w:type="dxa"/>
          </w:tcPr>
          <w:p w14:paraId="2FF3B86B" w14:textId="26FFE771" w:rsidR="00FF43B9" w:rsidRPr="00B90E52" w:rsidRDefault="00FF43B9" w:rsidP="00FF43B9">
            <w:pPr>
              <w:rPr>
                <w:color w:val="000000" w:themeColor="text1"/>
                <w:sz w:val="20"/>
                <w:szCs w:val="20"/>
              </w:rPr>
            </w:pPr>
            <w:bookmarkStart w:id="4" w:name="_Hlk153183106"/>
            <w:r>
              <w:rPr>
                <w:color w:val="000000" w:themeColor="text1"/>
                <w:sz w:val="20"/>
                <w:szCs w:val="20"/>
              </w:rPr>
              <w:t>The complaint was substantiated.</w:t>
            </w:r>
          </w:p>
          <w:bookmarkEnd w:id="4"/>
          <w:p w14:paraId="2C05D454" w14:textId="77777777" w:rsidR="00FF43B9" w:rsidRDefault="00FF43B9" w:rsidP="00FF43B9">
            <w:pPr>
              <w:rPr>
                <w:color w:val="000000" w:themeColor="text1"/>
                <w:sz w:val="20"/>
                <w:szCs w:val="20"/>
              </w:rPr>
            </w:pPr>
          </w:p>
        </w:tc>
        <w:tc>
          <w:tcPr>
            <w:tcW w:w="5811" w:type="dxa"/>
          </w:tcPr>
          <w:p w14:paraId="0D785016"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Eight recommendations made:</w:t>
            </w:r>
          </w:p>
          <w:p w14:paraId="2F7D59F6" w14:textId="6AD0E37C"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 xml:space="preserve">Comcare update its draft FOI Charges policy to better reflect the FOI Act, </w:t>
            </w:r>
            <w:r w:rsidRPr="00CD78C3">
              <w:rPr>
                <w:i/>
                <w:iCs/>
                <w:color w:val="000000" w:themeColor="text1"/>
                <w:sz w:val="20"/>
                <w:szCs w:val="20"/>
              </w:rPr>
              <w:t>Freedom of Information (Charges) Regulations 2019</w:t>
            </w:r>
            <w:r w:rsidRPr="00605744">
              <w:rPr>
                <w:color w:val="000000" w:themeColor="text1"/>
                <w:sz w:val="20"/>
                <w:szCs w:val="20"/>
              </w:rPr>
              <w:t xml:space="preserve"> (Charges Regulations) and the Guidelines issued under s 93A of the FOI Act (FOI Guidelines) by including a statement confirming that a FOI applicant cannot be found liable to pay a charge for a portion or part of a request.  </w:t>
            </w:r>
          </w:p>
          <w:p w14:paraId="76F10D07" w14:textId="0318D5DB"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finalise its FOI Charges Policy, make it available to FOI officers and publish a copy on Comcare’s ‘Request access to information’ webpage</w:t>
            </w:r>
            <w:r w:rsidRPr="00605744">
              <w:rPr>
                <w:color w:val="000000" w:themeColor="text1"/>
                <w:sz w:val="20"/>
                <w:szCs w:val="20"/>
              </w:rPr>
              <w:footnoteReference w:id="1"/>
            </w:r>
            <w:r w:rsidRPr="00605744">
              <w:rPr>
                <w:color w:val="000000" w:themeColor="text1"/>
                <w:sz w:val="20"/>
                <w:szCs w:val="20"/>
              </w:rPr>
              <w:t xml:space="preserve"> and Information Publication Scheme (IPS) in accordance with the FOI Guidelines at [4.51].</w:t>
            </w:r>
          </w:p>
          <w:p w14:paraId="188DBD82" w14:textId="30F35BE3"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update its FOI Procedure Manual to better reflect the FOI Act, the Charges Regulations and the FOI Guidelines by including:</w:t>
            </w:r>
          </w:p>
          <w:p w14:paraId="10ABD05D" w14:textId="42FEAF07" w:rsidR="00FF43B9" w:rsidRPr="00605744" w:rsidRDefault="00FF43B9" w:rsidP="00FF43B9">
            <w:pPr>
              <w:pStyle w:val="ListParagraph"/>
              <w:numPr>
                <w:ilvl w:val="1"/>
                <w:numId w:val="59"/>
              </w:numPr>
              <w:autoSpaceDE w:val="0"/>
              <w:autoSpaceDN w:val="0"/>
              <w:adjustRightInd w:val="0"/>
              <w:spacing w:after="0" w:line="240" w:lineRule="auto"/>
              <w:rPr>
                <w:color w:val="000000" w:themeColor="text1"/>
                <w:sz w:val="20"/>
                <w:szCs w:val="20"/>
              </w:rPr>
            </w:pPr>
            <w:r>
              <w:rPr>
                <w:color w:val="000000" w:themeColor="text1"/>
                <w:sz w:val="20"/>
                <w:szCs w:val="20"/>
              </w:rPr>
              <w:t>a s</w:t>
            </w:r>
            <w:r w:rsidRPr="00605744">
              <w:rPr>
                <w:color w:val="000000" w:themeColor="text1"/>
                <w:sz w:val="20"/>
                <w:szCs w:val="20"/>
              </w:rPr>
              <w:t xml:space="preserve">tatement under the heading ‘Charges’ which directs FOI officers to the FOI Charges Policy for </w:t>
            </w:r>
            <w:r w:rsidRPr="00605744">
              <w:rPr>
                <w:color w:val="000000" w:themeColor="text1"/>
                <w:sz w:val="20"/>
                <w:szCs w:val="20"/>
              </w:rPr>
              <w:lastRenderedPageBreak/>
              <w:t>further guidance on exercising the discretion to find a person liable to pay a charge, as well as reducing or not imposing a charge</w:t>
            </w:r>
          </w:p>
          <w:p w14:paraId="2A6532BD" w14:textId="77777777" w:rsidR="00FF43B9" w:rsidRPr="00605744" w:rsidRDefault="00FF43B9" w:rsidP="00FF43B9">
            <w:pPr>
              <w:pStyle w:val="ListParagraph"/>
              <w:numPr>
                <w:ilvl w:val="1"/>
                <w:numId w:val="59"/>
              </w:numPr>
              <w:autoSpaceDE w:val="0"/>
              <w:autoSpaceDN w:val="0"/>
              <w:adjustRightInd w:val="0"/>
              <w:spacing w:after="0" w:line="240" w:lineRule="auto"/>
              <w:rPr>
                <w:color w:val="000000" w:themeColor="text1"/>
                <w:sz w:val="20"/>
                <w:szCs w:val="20"/>
              </w:rPr>
            </w:pPr>
            <w:r w:rsidRPr="00605744">
              <w:rPr>
                <w:color w:val="000000" w:themeColor="text1"/>
                <w:sz w:val="20"/>
                <w:szCs w:val="20"/>
              </w:rPr>
              <w:t xml:space="preserve">a paragraph under the subheading ‘FOI </w:t>
            </w:r>
            <w:proofErr w:type="spellStart"/>
            <w:r w:rsidRPr="00605744">
              <w:rPr>
                <w:color w:val="000000" w:themeColor="text1"/>
                <w:sz w:val="20"/>
                <w:szCs w:val="20"/>
              </w:rPr>
              <w:t>timeframes’</w:t>
            </w:r>
            <w:proofErr w:type="spellEnd"/>
            <w:r w:rsidRPr="00605744">
              <w:rPr>
                <w:color w:val="000000" w:themeColor="text1"/>
                <w:sz w:val="20"/>
                <w:szCs w:val="20"/>
              </w:rPr>
              <w:t xml:space="preserve"> (p 21) which explains the expectation of clear communication with FOI applicants regarding timeframes, particularly in circumstances where the timeframe varies on multiple occasions</w:t>
            </w:r>
          </w:p>
          <w:p w14:paraId="075843EC" w14:textId="77777777" w:rsidR="00FF43B9" w:rsidRPr="00605744" w:rsidRDefault="00FF43B9" w:rsidP="00FF43B9">
            <w:pPr>
              <w:pStyle w:val="ListParagraph"/>
              <w:numPr>
                <w:ilvl w:val="1"/>
                <w:numId w:val="59"/>
              </w:numPr>
              <w:autoSpaceDE w:val="0"/>
              <w:autoSpaceDN w:val="0"/>
              <w:adjustRightInd w:val="0"/>
              <w:spacing w:after="0" w:line="240" w:lineRule="auto"/>
              <w:rPr>
                <w:color w:val="000000" w:themeColor="text1"/>
                <w:sz w:val="20"/>
                <w:szCs w:val="20"/>
              </w:rPr>
            </w:pPr>
            <w:r w:rsidRPr="00605744">
              <w:rPr>
                <w:color w:val="000000" w:themeColor="text1"/>
                <w:sz w:val="20"/>
                <w:szCs w:val="20"/>
              </w:rPr>
              <w:t xml:space="preserve">an inclusion under the subheading ‘FOI </w:t>
            </w:r>
            <w:proofErr w:type="spellStart"/>
            <w:r w:rsidRPr="00605744">
              <w:rPr>
                <w:color w:val="000000" w:themeColor="text1"/>
                <w:sz w:val="20"/>
                <w:szCs w:val="20"/>
              </w:rPr>
              <w:t>timeframes’</w:t>
            </w:r>
            <w:proofErr w:type="spellEnd"/>
            <w:r w:rsidRPr="00605744">
              <w:rPr>
                <w:color w:val="000000" w:themeColor="text1"/>
                <w:sz w:val="20"/>
                <w:szCs w:val="20"/>
              </w:rPr>
              <w:t xml:space="preserve"> (p 21) which explains that any extension of time agreed by the parties under s 15AA of the FOI Act must be reported to the OAIC as soon as practicable, but preferably within 1 business day, and</w:t>
            </w:r>
          </w:p>
          <w:p w14:paraId="60325E3E" w14:textId="77777777"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Once updated, Comcare publish its FOI Procedure Manual to its ‘Request access to information’</w:t>
            </w:r>
            <w:r w:rsidRPr="00605744">
              <w:rPr>
                <w:color w:val="000000" w:themeColor="text1"/>
                <w:sz w:val="20"/>
                <w:szCs w:val="20"/>
              </w:rPr>
              <w:footnoteReference w:id="2"/>
            </w:r>
            <w:r w:rsidRPr="00605744">
              <w:rPr>
                <w:color w:val="000000" w:themeColor="text1"/>
                <w:sz w:val="20"/>
                <w:szCs w:val="20"/>
              </w:rPr>
              <w:t xml:space="preserve"> webpage and IPS in accordance with the FOI Guidelines at [4.51].</w:t>
            </w:r>
          </w:p>
          <w:p w14:paraId="0756627E" w14:textId="00EA5D7C"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provide a copy of the updated FOI Procedure Manual to the OAIC for consideration.</w:t>
            </w:r>
          </w:p>
          <w:p w14:paraId="180D39D1" w14:textId="7BEE52C6"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undertake a review of all of its decisions made since 28 February 2020 to the date of this notice to ensure that all agreements made under s 15AA have been reported to the OAIC.</w:t>
            </w:r>
          </w:p>
          <w:p w14:paraId="4E6FC9B0" w14:textId="4014E051" w:rsidR="00FF43B9" w:rsidRPr="00605744"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assess all charges made since 27 June 2024 to 27 February 2025 to identify whether its FOI officers are making decisions consistent with the updated FOI Procedure Manual.</w:t>
            </w:r>
          </w:p>
          <w:p w14:paraId="176B4B5D" w14:textId="7B720A61" w:rsidR="00FF43B9" w:rsidRPr="0051255A" w:rsidRDefault="00FF43B9" w:rsidP="00FF43B9">
            <w:pPr>
              <w:pStyle w:val="ListParagraph"/>
              <w:numPr>
                <w:ilvl w:val="0"/>
                <w:numId w:val="58"/>
              </w:numPr>
              <w:autoSpaceDE w:val="0"/>
              <w:autoSpaceDN w:val="0"/>
              <w:adjustRightInd w:val="0"/>
              <w:spacing w:after="0" w:line="240" w:lineRule="auto"/>
              <w:rPr>
                <w:color w:val="000000" w:themeColor="text1"/>
                <w:sz w:val="20"/>
                <w:szCs w:val="20"/>
              </w:rPr>
            </w:pPr>
            <w:r w:rsidRPr="00605744">
              <w:rPr>
                <w:color w:val="000000" w:themeColor="text1"/>
                <w:sz w:val="20"/>
                <w:szCs w:val="20"/>
              </w:rPr>
              <w:t>Comcare report the results of the assessment referred to in recommendation (f) to the OAIC as soon as practicable after its completion, highlighting the feedback and ongoing improvements in its practices and procedures over the 8-month period.</w:t>
            </w:r>
          </w:p>
          <w:p w14:paraId="7553E45D" w14:textId="77777777" w:rsidR="00FF43B9" w:rsidRDefault="00FF43B9" w:rsidP="00FF43B9">
            <w:pPr>
              <w:autoSpaceDE w:val="0"/>
              <w:autoSpaceDN w:val="0"/>
              <w:adjustRightInd w:val="0"/>
              <w:spacing w:after="0" w:line="240" w:lineRule="auto"/>
              <w:rPr>
                <w:color w:val="000000" w:themeColor="text1"/>
                <w:sz w:val="20"/>
                <w:szCs w:val="20"/>
              </w:rPr>
            </w:pPr>
          </w:p>
          <w:p w14:paraId="522D50B0"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One suggestion:</w:t>
            </w:r>
          </w:p>
          <w:p w14:paraId="76AF57F4" w14:textId="3165B82D" w:rsidR="00FF43B9" w:rsidRPr="00345F36" w:rsidRDefault="00FF43B9" w:rsidP="00FF43B9">
            <w:pPr>
              <w:pStyle w:val="ListParagraph"/>
              <w:numPr>
                <w:ilvl w:val="0"/>
                <w:numId w:val="60"/>
              </w:numPr>
              <w:autoSpaceDE w:val="0"/>
              <w:autoSpaceDN w:val="0"/>
              <w:adjustRightInd w:val="0"/>
              <w:spacing w:after="0" w:line="240" w:lineRule="auto"/>
              <w:rPr>
                <w:color w:val="000000" w:themeColor="text1"/>
                <w:sz w:val="20"/>
                <w:szCs w:val="20"/>
              </w:rPr>
            </w:pPr>
            <w:r w:rsidRPr="00125584">
              <w:rPr>
                <w:color w:val="000000" w:themeColor="text1"/>
                <w:sz w:val="20"/>
                <w:szCs w:val="20"/>
              </w:rPr>
              <w:t xml:space="preserve">Before finalising the FOI Charges Policy, Comcare gives careful consideration as to whether it is appropriate to reference a $25 charge at [25] of the FOI Charges Policy having regard to the FOI Act, the Charges Regulations, the FOI Guidelines and the recent IC review decisions involving charges, particularly </w:t>
            </w:r>
            <w:r w:rsidRPr="00125584">
              <w:rPr>
                <w:i/>
                <w:iCs/>
                <w:color w:val="000000" w:themeColor="text1"/>
                <w:sz w:val="20"/>
                <w:szCs w:val="20"/>
              </w:rPr>
              <w:t>‘ABX’ and Department of Veterans’ Affairs (Freedom of information)</w:t>
            </w:r>
            <w:r w:rsidRPr="00125584">
              <w:rPr>
                <w:color w:val="000000" w:themeColor="text1"/>
                <w:sz w:val="20"/>
                <w:szCs w:val="20"/>
              </w:rPr>
              <w:t xml:space="preserve"> </w:t>
            </w:r>
            <w:hyperlink r:id="rId8" w:history="1">
              <w:r w:rsidRPr="00125584">
                <w:rPr>
                  <w:color w:val="000000" w:themeColor="text1"/>
                  <w:sz w:val="20"/>
                  <w:szCs w:val="20"/>
                </w:rPr>
                <w:t xml:space="preserve">[2022] </w:t>
              </w:r>
              <w:proofErr w:type="spellStart"/>
              <w:r w:rsidRPr="00125584">
                <w:rPr>
                  <w:color w:val="000000" w:themeColor="text1"/>
                  <w:sz w:val="20"/>
                  <w:szCs w:val="20"/>
                </w:rPr>
                <w:t>AICmr</w:t>
              </w:r>
              <w:proofErr w:type="spellEnd"/>
              <w:r w:rsidRPr="00125584">
                <w:rPr>
                  <w:color w:val="000000" w:themeColor="text1"/>
                  <w:sz w:val="20"/>
                  <w:szCs w:val="20"/>
                </w:rPr>
                <w:t xml:space="preserve"> 57</w:t>
              </w:r>
            </w:hyperlink>
            <w:r w:rsidRPr="00125584">
              <w:rPr>
                <w:color w:val="000000" w:themeColor="text1"/>
                <w:sz w:val="20"/>
                <w:szCs w:val="20"/>
              </w:rPr>
              <w:t xml:space="preserve">. Noting, the discretion to not impose a charge in circumstances where the cost of calculating the charge is likely to exceed the amount of the charge itself. </w:t>
            </w:r>
          </w:p>
        </w:tc>
        <w:tc>
          <w:tcPr>
            <w:tcW w:w="2127" w:type="dxa"/>
          </w:tcPr>
          <w:p w14:paraId="3FCE29BF" w14:textId="298FBFDE" w:rsidR="00FF43B9" w:rsidRDefault="00FF43B9" w:rsidP="00FF43B9">
            <w:pPr>
              <w:rPr>
                <w:sz w:val="20"/>
                <w:szCs w:val="20"/>
              </w:rPr>
            </w:pPr>
            <w:r>
              <w:rPr>
                <w:sz w:val="20"/>
                <w:szCs w:val="20"/>
              </w:rPr>
              <w:lastRenderedPageBreak/>
              <w:t>Accepted; to implement.</w:t>
            </w:r>
          </w:p>
        </w:tc>
        <w:tc>
          <w:tcPr>
            <w:tcW w:w="1984" w:type="dxa"/>
          </w:tcPr>
          <w:p w14:paraId="632452D6" w14:textId="77777777" w:rsidR="00FF43B9" w:rsidRDefault="00FF43B9" w:rsidP="00FF43B9">
            <w:pPr>
              <w:rPr>
                <w:sz w:val="20"/>
                <w:szCs w:val="20"/>
              </w:rPr>
            </w:pPr>
          </w:p>
        </w:tc>
      </w:tr>
      <w:tr w:rsidR="00FF43B9" w:rsidRPr="00D94668" w14:paraId="03E3DA8F" w14:textId="77777777" w:rsidTr="0086062E">
        <w:trPr>
          <w:trHeight w:val="917"/>
        </w:trPr>
        <w:tc>
          <w:tcPr>
            <w:tcW w:w="1888" w:type="dxa"/>
          </w:tcPr>
          <w:p w14:paraId="29321407" w14:textId="5ECAAF72" w:rsidR="00FF43B9" w:rsidRDefault="00FF43B9" w:rsidP="00FF43B9">
            <w:pPr>
              <w:rPr>
                <w:color w:val="000000" w:themeColor="text1"/>
                <w:sz w:val="20"/>
                <w:szCs w:val="20"/>
              </w:rPr>
            </w:pPr>
            <w:r>
              <w:rPr>
                <w:color w:val="000000" w:themeColor="text1"/>
                <w:sz w:val="20"/>
                <w:szCs w:val="20"/>
              </w:rPr>
              <w:lastRenderedPageBreak/>
              <w:t xml:space="preserve">Australian Broadcasting Corporation </w:t>
            </w:r>
          </w:p>
        </w:tc>
        <w:tc>
          <w:tcPr>
            <w:tcW w:w="2223" w:type="dxa"/>
          </w:tcPr>
          <w:p w14:paraId="01372BE7" w14:textId="570FCFFD" w:rsidR="00FF43B9" w:rsidRDefault="00FF43B9" w:rsidP="00FF43B9">
            <w:pPr>
              <w:rPr>
                <w:color w:val="000000" w:themeColor="text1"/>
                <w:sz w:val="20"/>
                <w:szCs w:val="20"/>
              </w:rPr>
            </w:pPr>
            <w:r>
              <w:rPr>
                <w:color w:val="000000" w:themeColor="text1"/>
                <w:sz w:val="20"/>
                <w:szCs w:val="20"/>
              </w:rPr>
              <w:t xml:space="preserve">Whether the ABC acknowledge, or processed, the complainant’s five (5) </w:t>
            </w:r>
            <w:r w:rsidRPr="004F709A">
              <w:rPr>
                <w:color w:val="000000" w:themeColor="text1"/>
                <w:sz w:val="20"/>
                <w:szCs w:val="20"/>
              </w:rPr>
              <w:t xml:space="preserve">FOI requests </w:t>
            </w:r>
          </w:p>
        </w:tc>
        <w:tc>
          <w:tcPr>
            <w:tcW w:w="1352" w:type="dxa"/>
          </w:tcPr>
          <w:p w14:paraId="3C9BF8A3" w14:textId="300D1951" w:rsidR="00FF43B9" w:rsidRDefault="00FF43B9" w:rsidP="00FF43B9">
            <w:pPr>
              <w:rPr>
                <w:color w:val="000000" w:themeColor="text1"/>
                <w:sz w:val="20"/>
                <w:szCs w:val="20"/>
              </w:rPr>
            </w:pPr>
            <w:r>
              <w:rPr>
                <w:color w:val="000000" w:themeColor="text1"/>
                <w:sz w:val="20"/>
                <w:szCs w:val="20"/>
              </w:rPr>
              <w:t>Personal</w:t>
            </w:r>
          </w:p>
        </w:tc>
        <w:tc>
          <w:tcPr>
            <w:tcW w:w="1483" w:type="dxa"/>
          </w:tcPr>
          <w:p w14:paraId="469E5623" w14:textId="02F5592A" w:rsidR="00FF43B9" w:rsidRDefault="00FF43B9" w:rsidP="00FF43B9">
            <w:pPr>
              <w:rPr>
                <w:color w:val="000000" w:themeColor="text1"/>
                <w:sz w:val="20"/>
                <w:szCs w:val="20"/>
              </w:rPr>
            </w:pPr>
            <w:r>
              <w:rPr>
                <w:color w:val="000000" w:themeColor="text1"/>
                <w:sz w:val="20"/>
                <w:szCs w:val="20"/>
              </w:rPr>
              <w:t>27 February 2024</w:t>
            </w:r>
          </w:p>
        </w:tc>
        <w:tc>
          <w:tcPr>
            <w:tcW w:w="4395" w:type="dxa"/>
          </w:tcPr>
          <w:p w14:paraId="435B689D" w14:textId="59F20083" w:rsidR="00FF43B9" w:rsidRPr="00DE3521" w:rsidRDefault="00FF43B9" w:rsidP="00FF43B9">
            <w:pPr>
              <w:rPr>
                <w:color w:val="000000" w:themeColor="text1"/>
                <w:sz w:val="20"/>
                <w:szCs w:val="20"/>
              </w:rPr>
            </w:pPr>
            <w:r>
              <w:rPr>
                <w:color w:val="000000" w:themeColor="text1"/>
                <w:sz w:val="20"/>
                <w:szCs w:val="20"/>
              </w:rPr>
              <w:t>T</w:t>
            </w:r>
            <w:r w:rsidRPr="004F709A">
              <w:rPr>
                <w:color w:val="000000" w:themeColor="text1"/>
                <w:sz w:val="20"/>
                <w:szCs w:val="20"/>
              </w:rPr>
              <w:t xml:space="preserve">he </w:t>
            </w:r>
            <w:r>
              <w:rPr>
                <w:color w:val="000000" w:themeColor="text1"/>
                <w:sz w:val="20"/>
                <w:szCs w:val="20"/>
              </w:rPr>
              <w:t>complaint was substantiated.</w:t>
            </w:r>
          </w:p>
        </w:tc>
        <w:tc>
          <w:tcPr>
            <w:tcW w:w="5811" w:type="dxa"/>
          </w:tcPr>
          <w:p w14:paraId="15F9B2D6" w14:textId="77777777" w:rsidR="00FF43B9" w:rsidRPr="00832736" w:rsidRDefault="00FF43B9" w:rsidP="00FF43B9">
            <w:pPr>
              <w:autoSpaceDE w:val="0"/>
              <w:autoSpaceDN w:val="0"/>
              <w:adjustRightInd w:val="0"/>
              <w:spacing w:after="0" w:line="240" w:lineRule="auto"/>
              <w:rPr>
                <w:color w:val="000000" w:themeColor="text1"/>
                <w:sz w:val="20"/>
                <w:szCs w:val="20"/>
              </w:rPr>
            </w:pPr>
            <w:r w:rsidRPr="00832736">
              <w:rPr>
                <w:color w:val="000000" w:themeColor="text1"/>
                <w:sz w:val="20"/>
                <w:szCs w:val="20"/>
              </w:rPr>
              <w:t>Four recommendations made:</w:t>
            </w:r>
          </w:p>
          <w:p w14:paraId="760464FB" w14:textId="1A6848A0" w:rsidR="00FF43B9" w:rsidRPr="00832736" w:rsidRDefault="00FF43B9" w:rsidP="00FF43B9">
            <w:pPr>
              <w:pStyle w:val="ListParagraph"/>
              <w:numPr>
                <w:ilvl w:val="0"/>
                <w:numId w:val="61"/>
              </w:numPr>
              <w:autoSpaceDE w:val="0"/>
              <w:autoSpaceDN w:val="0"/>
              <w:adjustRightInd w:val="0"/>
              <w:spacing w:after="0" w:line="240" w:lineRule="auto"/>
              <w:rPr>
                <w:color w:val="000000" w:themeColor="text1"/>
                <w:sz w:val="20"/>
                <w:szCs w:val="20"/>
              </w:rPr>
            </w:pPr>
            <w:r w:rsidRPr="00832736">
              <w:rPr>
                <w:color w:val="000000" w:themeColor="text1"/>
                <w:sz w:val="20"/>
                <w:szCs w:val="20"/>
              </w:rPr>
              <w:t>The ABC is to provide the complainant with a statement of reasons in response to the complainant’s</w:t>
            </w:r>
            <w:r>
              <w:rPr>
                <w:color w:val="000000" w:themeColor="text1"/>
                <w:sz w:val="20"/>
                <w:szCs w:val="20"/>
              </w:rPr>
              <w:t xml:space="preserve"> five (5)</w:t>
            </w:r>
            <w:r w:rsidRPr="00832736">
              <w:rPr>
                <w:color w:val="000000" w:themeColor="text1"/>
                <w:sz w:val="20"/>
                <w:szCs w:val="20"/>
              </w:rPr>
              <w:t xml:space="preserve"> FOI requests and, if relevant, provide access to the relevant documents to accompany those reasons.  </w:t>
            </w:r>
          </w:p>
          <w:p w14:paraId="21A2EDA4" w14:textId="3CEDA66B" w:rsidR="00FF43B9" w:rsidRPr="00832736" w:rsidRDefault="00FF43B9" w:rsidP="00FF43B9">
            <w:pPr>
              <w:pStyle w:val="ListParagraph"/>
              <w:numPr>
                <w:ilvl w:val="0"/>
                <w:numId w:val="61"/>
              </w:numPr>
              <w:autoSpaceDE w:val="0"/>
              <w:autoSpaceDN w:val="0"/>
              <w:adjustRightInd w:val="0"/>
              <w:spacing w:after="0" w:line="240" w:lineRule="auto"/>
              <w:rPr>
                <w:color w:val="000000" w:themeColor="text1"/>
                <w:sz w:val="20"/>
                <w:szCs w:val="20"/>
              </w:rPr>
            </w:pPr>
            <w:r w:rsidRPr="00832736">
              <w:rPr>
                <w:color w:val="000000" w:themeColor="text1"/>
                <w:sz w:val="20"/>
                <w:szCs w:val="20"/>
              </w:rPr>
              <w:t xml:space="preserve">The ABC’s FOI area assess all requests received since 1 May 2020 up to 27 February 2024 to identify any other requests received by the ABC that have not been processed in accordance with the FOI Act and are therefore considered deemed pursuant to s 15AC of the FOI Act. </w:t>
            </w:r>
          </w:p>
          <w:p w14:paraId="02837B2F" w14:textId="78273FB9" w:rsidR="00FF43B9" w:rsidRPr="00832736" w:rsidRDefault="00FF43B9" w:rsidP="00FF43B9">
            <w:pPr>
              <w:pStyle w:val="ListParagraph"/>
              <w:numPr>
                <w:ilvl w:val="0"/>
                <w:numId w:val="61"/>
              </w:numPr>
              <w:autoSpaceDE w:val="0"/>
              <w:autoSpaceDN w:val="0"/>
              <w:adjustRightInd w:val="0"/>
              <w:spacing w:after="0" w:line="240" w:lineRule="auto"/>
              <w:rPr>
                <w:color w:val="000000" w:themeColor="text1"/>
                <w:sz w:val="20"/>
                <w:szCs w:val="20"/>
              </w:rPr>
            </w:pPr>
            <w:r w:rsidRPr="00832736">
              <w:rPr>
                <w:color w:val="000000" w:themeColor="text1"/>
                <w:sz w:val="20"/>
                <w:szCs w:val="20"/>
              </w:rPr>
              <w:t>The ABC is to acknowledge and process all outstanding requests identified as part of the assessment referred to in recommendation (b). I confirm this process is not required in respect of any deemed decisions which were subsequently finalised through the IC review process, or for which the ABC subsequently provided a statement of reason on its own accord.</w:t>
            </w:r>
          </w:p>
          <w:p w14:paraId="24C91818" w14:textId="144A3EB5" w:rsidR="00FF43B9" w:rsidRPr="00832736" w:rsidRDefault="00FF43B9" w:rsidP="00FF43B9">
            <w:pPr>
              <w:pStyle w:val="ListParagraph"/>
              <w:numPr>
                <w:ilvl w:val="0"/>
                <w:numId w:val="61"/>
              </w:numPr>
              <w:autoSpaceDE w:val="0"/>
              <w:autoSpaceDN w:val="0"/>
              <w:adjustRightInd w:val="0"/>
              <w:spacing w:after="0" w:line="240" w:lineRule="auto"/>
              <w:rPr>
                <w:color w:val="000000" w:themeColor="text1"/>
                <w:sz w:val="20"/>
                <w:szCs w:val="20"/>
              </w:rPr>
            </w:pPr>
            <w:r w:rsidRPr="00832736">
              <w:rPr>
                <w:color w:val="000000" w:themeColor="text1"/>
                <w:sz w:val="20"/>
                <w:szCs w:val="20"/>
              </w:rPr>
              <w:t>The ABC report the results of the assessment referred to in recommendation (b) and (c) to the OAIC, highlighting: the number of cases identified, the issuance of a statement of reasons against each identified case, and any relevant feedback from the applicant in each case.</w:t>
            </w:r>
          </w:p>
        </w:tc>
        <w:tc>
          <w:tcPr>
            <w:tcW w:w="2127" w:type="dxa"/>
          </w:tcPr>
          <w:p w14:paraId="51AE0804" w14:textId="177DE73A" w:rsidR="00FF43B9" w:rsidRDefault="00FF43B9" w:rsidP="00FF43B9">
            <w:pPr>
              <w:rPr>
                <w:sz w:val="20"/>
                <w:szCs w:val="20"/>
              </w:rPr>
            </w:pPr>
            <w:r>
              <w:rPr>
                <w:sz w:val="20"/>
                <w:szCs w:val="20"/>
              </w:rPr>
              <w:t>Accepted; to implement.</w:t>
            </w:r>
          </w:p>
        </w:tc>
        <w:tc>
          <w:tcPr>
            <w:tcW w:w="1984" w:type="dxa"/>
          </w:tcPr>
          <w:p w14:paraId="1C765D3E" w14:textId="77777777" w:rsidR="00FF43B9" w:rsidRDefault="00FF43B9" w:rsidP="00FF43B9">
            <w:pPr>
              <w:rPr>
                <w:sz w:val="20"/>
                <w:szCs w:val="20"/>
              </w:rPr>
            </w:pPr>
          </w:p>
        </w:tc>
      </w:tr>
      <w:tr w:rsidR="00FF43B9" w:rsidRPr="00D94668" w14:paraId="74543B2B" w14:textId="77777777" w:rsidTr="0086062E">
        <w:trPr>
          <w:trHeight w:val="917"/>
        </w:trPr>
        <w:tc>
          <w:tcPr>
            <w:tcW w:w="1888" w:type="dxa"/>
          </w:tcPr>
          <w:p w14:paraId="1687D221" w14:textId="3AB4F9C8" w:rsidR="00FF43B9" w:rsidRDefault="00FF43B9" w:rsidP="00FF43B9">
            <w:pPr>
              <w:rPr>
                <w:color w:val="000000" w:themeColor="text1"/>
                <w:sz w:val="20"/>
                <w:szCs w:val="20"/>
              </w:rPr>
            </w:pPr>
            <w:r>
              <w:rPr>
                <w:color w:val="000000" w:themeColor="text1"/>
                <w:sz w:val="20"/>
                <w:szCs w:val="20"/>
              </w:rPr>
              <w:t>Services Australia</w:t>
            </w:r>
          </w:p>
        </w:tc>
        <w:tc>
          <w:tcPr>
            <w:tcW w:w="2223" w:type="dxa"/>
          </w:tcPr>
          <w:p w14:paraId="1943BEBE" w14:textId="77777777" w:rsidR="00FF43B9" w:rsidRDefault="00FF43B9" w:rsidP="00FF43B9">
            <w:pPr>
              <w:rPr>
                <w:color w:val="000000" w:themeColor="text1"/>
                <w:sz w:val="20"/>
                <w:szCs w:val="20"/>
              </w:rPr>
            </w:pPr>
            <w:r>
              <w:rPr>
                <w:color w:val="000000" w:themeColor="text1"/>
                <w:sz w:val="20"/>
                <w:szCs w:val="20"/>
              </w:rPr>
              <w:t>Whether there were deliberate delays by Services Australia</w:t>
            </w:r>
          </w:p>
          <w:p w14:paraId="2D853652" w14:textId="77777777" w:rsidR="00FF43B9" w:rsidRDefault="00FF43B9" w:rsidP="00FF43B9">
            <w:pPr>
              <w:rPr>
                <w:color w:val="000000" w:themeColor="text1"/>
                <w:sz w:val="20"/>
                <w:szCs w:val="20"/>
              </w:rPr>
            </w:pPr>
            <w:r>
              <w:rPr>
                <w:color w:val="000000" w:themeColor="text1"/>
                <w:sz w:val="20"/>
                <w:szCs w:val="20"/>
              </w:rPr>
              <w:t>Whether the Charges Notice was ‘void’ on the basis that the delegate did not sign the document</w:t>
            </w:r>
          </w:p>
          <w:p w14:paraId="0D3606A7" w14:textId="77777777" w:rsidR="00FF43B9" w:rsidRDefault="00FF43B9" w:rsidP="00FF43B9">
            <w:pPr>
              <w:rPr>
                <w:color w:val="000000" w:themeColor="text1"/>
                <w:sz w:val="20"/>
                <w:szCs w:val="20"/>
              </w:rPr>
            </w:pPr>
            <w:r>
              <w:rPr>
                <w:color w:val="000000" w:themeColor="text1"/>
                <w:sz w:val="20"/>
                <w:szCs w:val="20"/>
              </w:rPr>
              <w:t>Whether the Charges Notice was issued out of time</w:t>
            </w:r>
          </w:p>
          <w:p w14:paraId="7394F54E" w14:textId="53A190A5" w:rsidR="00FF43B9" w:rsidRDefault="00FF43B9" w:rsidP="00FF43B9">
            <w:pPr>
              <w:rPr>
                <w:color w:val="000000" w:themeColor="text1"/>
                <w:sz w:val="20"/>
                <w:szCs w:val="20"/>
              </w:rPr>
            </w:pPr>
            <w:r>
              <w:rPr>
                <w:color w:val="000000" w:themeColor="text1"/>
                <w:sz w:val="20"/>
                <w:szCs w:val="20"/>
              </w:rPr>
              <w:t>Whether the exercise of the discretion to impose by Services Australia was properly done</w:t>
            </w:r>
          </w:p>
        </w:tc>
        <w:tc>
          <w:tcPr>
            <w:tcW w:w="1352" w:type="dxa"/>
          </w:tcPr>
          <w:p w14:paraId="3493AFD1" w14:textId="175DBA2B" w:rsidR="00FF43B9" w:rsidRDefault="00FF43B9" w:rsidP="00FF43B9">
            <w:pPr>
              <w:rPr>
                <w:color w:val="000000" w:themeColor="text1"/>
                <w:sz w:val="20"/>
                <w:szCs w:val="20"/>
              </w:rPr>
            </w:pPr>
            <w:r>
              <w:rPr>
                <w:color w:val="000000" w:themeColor="text1"/>
                <w:sz w:val="20"/>
                <w:szCs w:val="20"/>
              </w:rPr>
              <w:t>Non-personal</w:t>
            </w:r>
          </w:p>
        </w:tc>
        <w:tc>
          <w:tcPr>
            <w:tcW w:w="1483" w:type="dxa"/>
          </w:tcPr>
          <w:p w14:paraId="20CCAFC8" w14:textId="57C80DAF" w:rsidR="00FF43B9" w:rsidRDefault="00FF43B9" w:rsidP="00FF43B9">
            <w:pPr>
              <w:rPr>
                <w:color w:val="000000" w:themeColor="text1"/>
                <w:sz w:val="20"/>
                <w:szCs w:val="20"/>
              </w:rPr>
            </w:pPr>
            <w:r>
              <w:rPr>
                <w:color w:val="000000" w:themeColor="text1"/>
                <w:sz w:val="20"/>
                <w:szCs w:val="20"/>
              </w:rPr>
              <w:t>27 February 2024</w:t>
            </w:r>
          </w:p>
        </w:tc>
        <w:tc>
          <w:tcPr>
            <w:tcW w:w="4395" w:type="dxa"/>
          </w:tcPr>
          <w:p w14:paraId="70E104E7" w14:textId="7C52D2C3" w:rsidR="00FF43B9" w:rsidRPr="00DE3521" w:rsidRDefault="00FF43B9" w:rsidP="00FF43B9">
            <w:pPr>
              <w:rPr>
                <w:color w:val="000000" w:themeColor="text1"/>
                <w:sz w:val="20"/>
                <w:szCs w:val="20"/>
              </w:rPr>
            </w:pPr>
            <w:r w:rsidRPr="00DE3521">
              <w:rPr>
                <w:color w:val="000000" w:themeColor="text1"/>
                <w:sz w:val="20"/>
                <w:szCs w:val="20"/>
              </w:rPr>
              <w:t>Services Australia’s decision to extend the processing time under s 15(6) of the FOI Act did not comply with the FOI Act or FOI Guidelines</w:t>
            </w:r>
            <w:r>
              <w:rPr>
                <w:color w:val="000000" w:themeColor="text1"/>
                <w:sz w:val="20"/>
                <w:szCs w:val="20"/>
              </w:rPr>
              <w:t>.</w:t>
            </w:r>
          </w:p>
          <w:p w14:paraId="53884BD1" w14:textId="77D7EAC4" w:rsidR="00FF43B9" w:rsidRPr="00DE3521" w:rsidRDefault="00FF43B9" w:rsidP="00FF43B9">
            <w:pPr>
              <w:rPr>
                <w:color w:val="000000" w:themeColor="text1"/>
                <w:sz w:val="20"/>
                <w:szCs w:val="20"/>
              </w:rPr>
            </w:pPr>
            <w:r w:rsidRPr="00DE3521">
              <w:rPr>
                <w:color w:val="000000" w:themeColor="text1"/>
                <w:sz w:val="20"/>
                <w:szCs w:val="20"/>
              </w:rPr>
              <w:t>The Charges Notice was not ‘void’ on the basis that the delegate failed to sign it.</w:t>
            </w:r>
          </w:p>
          <w:p w14:paraId="47109C6D" w14:textId="31E2EDCF" w:rsidR="00FF43B9" w:rsidRPr="00DE3521" w:rsidRDefault="00FF43B9" w:rsidP="00FF43B9">
            <w:pPr>
              <w:rPr>
                <w:color w:val="000000" w:themeColor="text1"/>
                <w:sz w:val="20"/>
                <w:szCs w:val="20"/>
              </w:rPr>
            </w:pPr>
            <w:r w:rsidRPr="00DE3521">
              <w:rPr>
                <w:color w:val="000000" w:themeColor="text1"/>
                <w:sz w:val="20"/>
                <w:szCs w:val="20"/>
              </w:rPr>
              <w:t>It was legally open to Services Australia to issue a Charges Notice; however, in doing so, Services Australia did not engage in practices appropriate to advancing the objects of the FOI Act, and particularly, to facilitate and promote public access to information, promptly and at the lowest reasonable cost (s 3(4) of the FOI Act).</w:t>
            </w:r>
          </w:p>
          <w:p w14:paraId="678050BD" w14:textId="6A81A77A" w:rsidR="00FF43B9" w:rsidRDefault="00FF43B9" w:rsidP="00FF43B9">
            <w:pPr>
              <w:rPr>
                <w:color w:val="000000" w:themeColor="text1"/>
                <w:sz w:val="20"/>
                <w:szCs w:val="20"/>
              </w:rPr>
            </w:pPr>
          </w:p>
        </w:tc>
        <w:tc>
          <w:tcPr>
            <w:tcW w:w="5811" w:type="dxa"/>
          </w:tcPr>
          <w:p w14:paraId="4F956D7E"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Four recommendations made:</w:t>
            </w:r>
          </w:p>
          <w:p w14:paraId="32966ACB" w14:textId="77777777" w:rsidR="00FF43B9" w:rsidRDefault="00FF43B9" w:rsidP="00FF43B9">
            <w:pPr>
              <w:pStyle w:val="ListParagraph"/>
              <w:numPr>
                <w:ilvl w:val="0"/>
                <w:numId w:val="62"/>
              </w:numPr>
              <w:autoSpaceDE w:val="0"/>
              <w:autoSpaceDN w:val="0"/>
              <w:adjustRightInd w:val="0"/>
              <w:spacing w:after="0" w:line="240" w:lineRule="auto"/>
              <w:rPr>
                <w:color w:val="000000" w:themeColor="text1"/>
                <w:sz w:val="20"/>
                <w:szCs w:val="20"/>
              </w:rPr>
            </w:pPr>
            <w:r>
              <w:rPr>
                <w:color w:val="000000" w:themeColor="text1"/>
                <w:sz w:val="20"/>
                <w:szCs w:val="20"/>
              </w:rPr>
              <w:t>Services Australia must update its policies, training manuals, and/or guidance material to accurately reflect the FOI Act and FOI Guidelines in respect of charges, to include:</w:t>
            </w:r>
          </w:p>
          <w:p w14:paraId="4F8BB66D" w14:textId="77777777" w:rsidR="00FF43B9" w:rsidRDefault="00FF43B9" w:rsidP="00FF43B9">
            <w:pPr>
              <w:pStyle w:val="ListParagraph"/>
              <w:numPr>
                <w:ilvl w:val="1"/>
                <w:numId w:val="47"/>
              </w:numPr>
              <w:autoSpaceDE w:val="0"/>
              <w:autoSpaceDN w:val="0"/>
              <w:adjustRightInd w:val="0"/>
              <w:spacing w:after="0" w:line="240" w:lineRule="auto"/>
              <w:rPr>
                <w:color w:val="000000" w:themeColor="text1"/>
                <w:sz w:val="20"/>
                <w:szCs w:val="20"/>
              </w:rPr>
            </w:pPr>
            <w:r>
              <w:rPr>
                <w:color w:val="000000" w:themeColor="text1"/>
                <w:sz w:val="20"/>
                <w:szCs w:val="20"/>
              </w:rPr>
              <w:t>FOI officers must consider whether it is appropriate to find an FOI applicant liable to pay a charge before issuing a notice pursuant to s 29(1) of the FOI Act ('Charges Notice')</w:t>
            </w:r>
          </w:p>
          <w:p w14:paraId="3DE254C8" w14:textId="77777777" w:rsidR="00FF43B9" w:rsidRDefault="00FF43B9" w:rsidP="00FF43B9">
            <w:pPr>
              <w:pStyle w:val="ListParagraph"/>
              <w:numPr>
                <w:ilvl w:val="1"/>
                <w:numId w:val="47"/>
              </w:numPr>
              <w:autoSpaceDE w:val="0"/>
              <w:autoSpaceDN w:val="0"/>
              <w:adjustRightInd w:val="0"/>
              <w:spacing w:after="0" w:line="240" w:lineRule="auto"/>
              <w:rPr>
                <w:color w:val="000000" w:themeColor="text1"/>
                <w:sz w:val="20"/>
                <w:szCs w:val="20"/>
              </w:rPr>
            </w:pPr>
            <w:r>
              <w:rPr>
                <w:color w:val="000000" w:themeColor="text1"/>
                <w:sz w:val="20"/>
                <w:szCs w:val="20"/>
              </w:rPr>
              <w:t>FOI officers must only issue a Charges Notice in circumstances where they have undertaken sampling and have obtained an accurate estimate of the charge, and</w:t>
            </w:r>
          </w:p>
          <w:p w14:paraId="2EDB46B0" w14:textId="77777777" w:rsidR="00FF43B9" w:rsidRDefault="00FF43B9" w:rsidP="00FF43B9">
            <w:pPr>
              <w:pStyle w:val="ListParagraph"/>
              <w:numPr>
                <w:ilvl w:val="1"/>
                <w:numId w:val="47"/>
              </w:numPr>
              <w:autoSpaceDE w:val="0"/>
              <w:autoSpaceDN w:val="0"/>
              <w:adjustRightInd w:val="0"/>
              <w:spacing w:after="0" w:line="240" w:lineRule="auto"/>
              <w:rPr>
                <w:color w:val="000000" w:themeColor="text1"/>
                <w:sz w:val="20"/>
                <w:szCs w:val="20"/>
              </w:rPr>
            </w:pPr>
            <w:r>
              <w:rPr>
                <w:color w:val="000000" w:themeColor="text1"/>
                <w:sz w:val="20"/>
                <w:szCs w:val="20"/>
              </w:rPr>
              <w:t>FOI officers must document their reasons for justifying the imposition of a charge where it has previously been decided that a practical refusal reason exists but either through consultation or Information Commissioner (IC) review, the practical refusal reason no longer exists or is found not to exist.</w:t>
            </w:r>
          </w:p>
          <w:p w14:paraId="2D339319" w14:textId="77777777" w:rsidR="00FF43B9" w:rsidRDefault="00FF43B9" w:rsidP="00FF43B9">
            <w:pPr>
              <w:pStyle w:val="ListParagraph"/>
              <w:numPr>
                <w:ilvl w:val="0"/>
                <w:numId w:val="62"/>
              </w:numPr>
              <w:autoSpaceDE w:val="0"/>
              <w:autoSpaceDN w:val="0"/>
              <w:adjustRightInd w:val="0"/>
              <w:spacing w:after="0" w:line="240" w:lineRule="auto"/>
              <w:rPr>
                <w:color w:val="000000" w:themeColor="text1"/>
                <w:sz w:val="20"/>
                <w:szCs w:val="20"/>
              </w:rPr>
            </w:pPr>
            <w:r>
              <w:rPr>
                <w:color w:val="000000" w:themeColor="text1"/>
                <w:sz w:val="20"/>
                <w:szCs w:val="20"/>
              </w:rPr>
              <w:t>Services Australia is to provide formal training supported by documentation to its staff engaged in processing FOI requests with a particular focus on:</w:t>
            </w:r>
          </w:p>
          <w:p w14:paraId="2E9EF2A9" w14:textId="77777777" w:rsidR="00FF43B9" w:rsidRDefault="00FF43B9" w:rsidP="00FF43B9">
            <w:pPr>
              <w:pStyle w:val="ListParagraph"/>
              <w:numPr>
                <w:ilvl w:val="0"/>
                <w:numId w:val="63"/>
              </w:numPr>
              <w:autoSpaceDE w:val="0"/>
              <w:autoSpaceDN w:val="0"/>
              <w:adjustRightInd w:val="0"/>
              <w:spacing w:after="0" w:line="240" w:lineRule="auto"/>
              <w:rPr>
                <w:color w:val="000000" w:themeColor="text1"/>
                <w:sz w:val="20"/>
                <w:szCs w:val="20"/>
              </w:rPr>
            </w:pPr>
            <w:r>
              <w:rPr>
                <w:color w:val="000000" w:themeColor="text1"/>
                <w:sz w:val="20"/>
                <w:szCs w:val="20"/>
              </w:rPr>
              <w:t>the guiding principles of the charges framework, including the discretionary nature of charges, and</w:t>
            </w:r>
          </w:p>
          <w:p w14:paraId="22D0094D" w14:textId="77777777" w:rsidR="00FF43B9" w:rsidRDefault="00FF43B9" w:rsidP="00FF43B9">
            <w:pPr>
              <w:pStyle w:val="ListParagraph"/>
              <w:numPr>
                <w:ilvl w:val="0"/>
                <w:numId w:val="63"/>
              </w:numPr>
              <w:autoSpaceDE w:val="0"/>
              <w:autoSpaceDN w:val="0"/>
              <w:adjustRightInd w:val="0"/>
              <w:spacing w:after="0" w:line="240" w:lineRule="auto"/>
              <w:rPr>
                <w:color w:val="000000" w:themeColor="text1"/>
                <w:sz w:val="20"/>
                <w:szCs w:val="20"/>
              </w:rPr>
            </w:pPr>
            <w:r>
              <w:rPr>
                <w:color w:val="000000" w:themeColor="text1"/>
                <w:sz w:val="20"/>
                <w:szCs w:val="20"/>
              </w:rPr>
              <w:t>processes following IC review, with specific regard to the objects of the FOI Act.</w:t>
            </w:r>
          </w:p>
          <w:p w14:paraId="42F3EE6C" w14:textId="77777777" w:rsidR="00FF43B9" w:rsidRDefault="00FF43B9" w:rsidP="00FF43B9">
            <w:pPr>
              <w:pStyle w:val="ListParagraph"/>
              <w:numPr>
                <w:ilvl w:val="0"/>
                <w:numId w:val="62"/>
              </w:numPr>
              <w:autoSpaceDE w:val="0"/>
              <w:autoSpaceDN w:val="0"/>
              <w:adjustRightInd w:val="0"/>
              <w:spacing w:after="0" w:line="240" w:lineRule="auto"/>
              <w:rPr>
                <w:color w:val="000000" w:themeColor="text1"/>
                <w:sz w:val="20"/>
                <w:szCs w:val="20"/>
              </w:rPr>
            </w:pPr>
            <w:r>
              <w:rPr>
                <w:color w:val="000000" w:themeColor="text1"/>
                <w:sz w:val="20"/>
                <w:szCs w:val="20"/>
              </w:rPr>
              <w:lastRenderedPageBreak/>
              <w:t>Services Australia’s FOI area assess all charges decisions made since 6 August 2020 up to 23 February 2024. The assessment should seek to identify whether Services Australia had, throughout that period, made other charges decision in a manner inconsistent with ss 3(4) and 29 of the FOI Act, and which may need to be revisited in light of the outcome of this FOI complaint, and</w:t>
            </w:r>
          </w:p>
          <w:p w14:paraId="40A64EA2" w14:textId="1F9F7262" w:rsidR="00FF43B9" w:rsidRPr="00F53700" w:rsidRDefault="00FF43B9" w:rsidP="00FF43B9">
            <w:pPr>
              <w:pStyle w:val="ListParagraph"/>
              <w:numPr>
                <w:ilvl w:val="0"/>
                <w:numId w:val="62"/>
              </w:numPr>
              <w:autoSpaceDE w:val="0"/>
              <w:autoSpaceDN w:val="0"/>
              <w:adjustRightInd w:val="0"/>
              <w:spacing w:after="0" w:line="240" w:lineRule="auto"/>
              <w:rPr>
                <w:color w:val="000000" w:themeColor="text1"/>
                <w:sz w:val="20"/>
                <w:szCs w:val="20"/>
              </w:rPr>
            </w:pPr>
            <w:r w:rsidRPr="00F53700">
              <w:rPr>
                <w:color w:val="000000" w:themeColor="text1"/>
                <w:sz w:val="20"/>
                <w:szCs w:val="20"/>
              </w:rPr>
              <w:t>Services Australia report the results of the assessment referred to in recommendation c to the OAIC, highlighting the feedback and ongoing improvements in its practices and procedures since the implementation of the recommendations outlined above.</w:t>
            </w:r>
          </w:p>
        </w:tc>
        <w:tc>
          <w:tcPr>
            <w:tcW w:w="2127" w:type="dxa"/>
          </w:tcPr>
          <w:p w14:paraId="47236CE0" w14:textId="60BD75DE" w:rsidR="00FF43B9" w:rsidRDefault="00FF43B9" w:rsidP="00FF43B9">
            <w:pPr>
              <w:rPr>
                <w:sz w:val="20"/>
                <w:szCs w:val="20"/>
              </w:rPr>
            </w:pPr>
            <w:r>
              <w:rPr>
                <w:rFonts w:eastAsia="Source Sans Pro"/>
                <w:sz w:val="20"/>
                <w:szCs w:val="20"/>
              </w:rPr>
              <w:lastRenderedPageBreak/>
              <w:t xml:space="preserve">Accepted; to implement. </w:t>
            </w:r>
          </w:p>
        </w:tc>
        <w:tc>
          <w:tcPr>
            <w:tcW w:w="1984" w:type="dxa"/>
          </w:tcPr>
          <w:p w14:paraId="3514A6EA" w14:textId="77777777" w:rsidR="00FF43B9" w:rsidRDefault="00FF43B9" w:rsidP="00FF43B9">
            <w:pPr>
              <w:rPr>
                <w:sz w:val="20"/>
                <w:szCs w:val="20"/>
              </w:rPr>
            </w:pPr>
          </w:p>
        </w:tc>
      </w:tr>
      <w:tr w:rsidR="00FF43B9" w:rsidRPr="00D94668" w14:paraId="6F15B8B4" w14:textId="77777777" w:rsidTr="0086062E">
        <w:trPr>
          <w:trHeight w:val="917"/>
        </w:trPr>
        <w:tc>
          <w:tcPr>
            <w:tcW w:w="1888" w:type="dxa"/>
          </w:tcPr>
          <w:p w14:paraId="4B9360E1" w14:textId="0D96BE72" w:rsidR="00FF43B9" w:rsidRDefault="00FF43B9" w:rsidP="00FF43B9">
            <w:pPr>
              <w:rPr>
                <w:color w:val="000000" w:themeColor="text1"/>
                <w:sz w:val="20"/>
                <w:szCs w:val="20"/>
              </w:rPr>
            </w:pPr>
            <w:r>
              <w:rPr>
                <w:color w:val="000000" w:themeColor="text1"/>
                <w:sz w:val="20"/>
                <w:szCs w:val="20"/>
              </w:rPr>
              <w:t>Department of Industry, Science and Resources</w:t>
            </w:r>
          </w:p>
        </w:tc>
        <w:tc>
          <w:tcPr>
            <w:tcW w:w="2223" w:type="dxa"/>
          </w:tcPr>
          <w:p w14:paraId="752FAFC4" w14:textId="77777777" w:rsidR="00FF43B9" w:rsidRDefault="00FF43B9" w:rsidP="00FF43B9">
            <w:pPr>
              <w:rPr>
                <w:color w:val="000000" w:themeColor="text1"/>
                <w:sz w:val="20"/>
                <w:szCs w:val="20"/>
              </w:rPr>
            </w:pPr>
            <w:r>
              <w:rPr>
                <w:color w:val="000000" w:themeColor="text1"/>
                <w:sz w:val="20"/>
                <w:szCs w:val="20"/>
              </w:rPr>
              <w:t>Whether the Department imposed charges which were disproportionate to the work required to process the requests</w:t>
            </w:r>
          </w:p>
          <w:p w14:paraId="6FF884FB" w14:textId="40EEBDEC" w:rsidR="00FF43B9" w:rsidRDefault="00FF43B9" w:rsidP="00FF43B9">
            <w:pPr>
              <w:rPr>
                <w:color w:val="000000" w:themeColor="text1"/>
                <w:sz w:val="20"/>
                <w:szCs w:val="20"/>
              </w:rPr>
            </w:pPr>
            <w:r>
              <w:rPr>
                <w:color w:val="000000" w:themeColor="text1"/>
                <w:sz w:val="20"/>
                <w:szCs w:val="20"/>
              </w:rPr>
              <w:t>Whether the Department did not properly scrutinise the charge determined by the Australian Government Solicitor calculator (charges calculator)</w:t>
            </w:r>
          </w:p>
        </w:tc>
        <w:tc>
          <w:tcPr>
            <w:tcW w:w="1352" w:type="dxa"/>
          </w:tcPr>
          <w:p w14:paraId="2C128AF2" w14:textId="0EA5E13C" w:rsidR="00FF43B9" w:rsidRDefault="00FF43B9" w:rsidP="00FF43B9">
            <w:pPr>
              <w:rPr>
                <w:color w:val="000000" w:themeColor="text1"/>
                <w:sz w:val="20"/>
                <w:szCs w:val="20"/>
              </w:rPr>
            </w:pPr>
            <w:r>
              <w:rPr>
                <w:color w:val="000000" w:themeColor="text1"/>
                <w:sz w:val="20"/>
                <w:szCs w:val="20"/>
              </w:rPr>
              <w:t>Non-personal</w:t>
            </w:r>
          </w:p>
        </w:tc>
        <w:tc>
          <w:tcPr>
            <w:tcW w:w="1483" w:type="dxa"/>
          </w:tcPr>
          <w:p w14:paraId="5E691FD5" w14:textId="1DD59D9A" w:rsidR="00FF43B9" w:rsidRDefault="00FF43B9" w:rsidP="00FF43B9">
            <w:pPr>
              <w:rPr>
                <w:color w:val="000000" w:themeColor="text1"/>
                <w:sz w:val="20"/>
                <w:szCs w:val="20"/>
              </w:rPr>
            </w:pPr>
            <w:r>
              <w:rPr>
                <w:color w:val="000000" w:themeColor="text1"/>
                <w:sz w:val="20"/>
                <w:szCs w:val="20"/>
              </w:rPr>
              <w:t>26 February 2024</w:t>
            </w:r>
          </w:p>
        </w:tc>
        <w:tc>
          <w:tcPr>
            <w:tcW w:w="4395" w:type="dxa"/>
          </w:tcPr>
          <w:p w14:paraId="79445C83" w14:textId="77777777" w:rsidR="00FF43B9" w:rsidRDefault="00FF43B9" w:rsidP="00FF43B9">
            <w:pPr>
              <w:rPr>
                <w:color w:val="000000" w:themeColor="text1"/>
                <w:sz w:val="20"/>
                <w:szCs w:val="20"/>
              </w:rPr>
            </w:pPr>
            <w:r>
              <w:rPr>
                <w:color w:val="000000" w:themeColor="text1"/>
                <w:sz w:val="20"/>
                <w:szCs w:val="20"/>
              </w:rPr>
              <w:t xml:space="preserve">The complaint was substantiated. </w:t>
            </w:r>
          </w:p>
          <w:p w14:paraId="01F717E2" w14:textId="0A9B0CBD" w:rsidR="00FF43B9" w:rsidRDefault="00FF43B9" w:rsidP="00FF43B9">
            <w:pPr>
              <w:rPr>
                <w:color w:val="000000" w:themeColor="text1"/>
                <w:sz w:val="20"/>
                <w:szCs w:val="20"/>
              </w:rPr>
            </w:pPr>
            <w:r>
              <w:rPr>
                <w:color w:val="000000" w:themeColor="text1"/>
                <w:sz w:val="20"/>
                <w:szCs w:val="20"/>
              </w:rPr>
              <w:t xml:space="preserve">The Department did not properly scrutinise the data input into the charges calculator and therefore cannot be satisfied that it represented an accurate preliminary assessment of charge. </w:t>
            </w:r>
          </w:p>
        </w:tc>
        <w:tc>
          <w:tcPr>
            <w:tcW w:w="5811" w:type="dxa"/>
          </w:tcPr>
          <w:p w14:paraId="78719F0D"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Four recommendations made:</w:t>
            </w:r>
          </w:p>
          <w:p w14:paraId="39EFBF37" w14:textId="2311C883" w:rsidR="00FF43B9" w:rsidRPr="00605744" w:rsidRDefault="00FF43B9" w:rsidP="00FF43B9">
            <w:pPr>
              <w:pStyle w:val="ListParagraph"/>
              <w:numPr>
                <w:ilvl w:val="0"/>
                <w:numId w:val="64"/>
              </w:numPr>
              <w:autoSpaceDE w:val="0"/>
              <w:autoSpaceDN w:val="0"/>
              <w:adjustRightInd w:val="0"/>
              <w:spacing w:after="0" w:line="240" w:lineRule="auto"/>
              <w:rPr>
                <w:color w:val="000000" w:themeColor="text1"/>
                <w:sz w:val="20"/>
                <w:szCs w:val="20"/>
              </w:rPr>
            </w:pPr>
            <w:bookmarkStart w:id="5" w:name="_Ref159233165"/>
            <w:r w:rsidRPr="00605744">
              <w:rPr>
                <w:color w:val="000000" w:themeColor="text1"/>
                <w:sz w:val="20"/>
                <w:szCs w:val="20"/>
              </w:rPr>
              <w:t>The Department is to amend its FOI Procedural Manual to state that there is an expectation when using a charges calculator that the FOI officer undertake sampling to ensure that the data input provides an accurate estimate.</w:t>
            </w:r>
            <w:bookmarkEnd w:id="5"/>
            <w:r w:rsidRPr="00605744">
              <w:rPr>
                <w:color w:val="000000" w:themeColor="text1"/>
                <w:sz w:val="20"/>
                <w:szCs w:val="20"/>
              </w:rPr>
              <w:t xml:space="preserve"> </w:t>
            </w:r>
          </w:p>
          <w:p w14:paraId="3D8786CF" w14:textId="614B91E8" w:rsidR="00FF43B9" w:rsidRPr="00605744" w:rsidRDefault="00FF43B9" w:rsidP="00FF43B9">
            <w:pPr>
              <w:pStyle w:val="ListParagraph"/>
              <w:numPr>
                <w:ilvl w:val="0"/>
                <w:numId w:val="64"/>
              </w:numPr>
              <w:autoSpaceDE w:val="0"/>
              <w:autoSpaceDN w:val="0"/>
              <w:adjustRightInd w:val="0"/>
              <w:spacing w:after="0" w:line="240" w:lineRule="auto"/>
              <w:rPr>
                <w:color w:val="000000" w:themeColor="text1"/>
                <w:sz w:val="20"/>
                <w:szCs w:val="20"/>
              </w:rPr>
            </w:pPr>
            <w:r w:rsidRPr="00605744">
              <w:rPr>
                <w:color w:val="000000" w:themeColor="text1"/>
                <w:sz w:val="20"/>
                <w:szCs w:val="20"/>
              </w:rPr>
              <w:t>The Department is to providing training to its FOI officers to ensure they are aware of the expectation to undertake sampling when using a charges calculator.</w:t>
            </w:r>
          </w:p>
          <w:p w14:paraId="134B8746" w14:textId="71456D49" w:rsidR="00FF43B9" w:rsidRPr="00605744" w:rsidRDefault="00FF43B9" w:rsidP="00FF43B9">
            <w:pPr>
              <w:pStyle w:val="ListParagraph"/>
              <w:numPr>
                <w:ilvl w:val="0"/>
                <w:numId w:val="64"/>
              </w:numPr>
              <w:autoSpaceDE w:val="0"/>
              <w:autoSpaceDN w:val="0"/>
              <w:adjustRightInd w:val="0"/>
              <w:spacing w:after="0" w:line="240" w:lineRule="auto"/>
              <w:rPr>
                <w:color w:val="000000" w:themeColor="text1"/>
                <w:sz w:val="20"/>
                <w:szCs w:val="20"/>
              </w:rPr>
            </w:pPr>
            <w:r w:rsidRPr="00605744">
              <w:rPr>
                <w:color w:val="000000" w:themeColor="text1"/>
                <w:sz w:val="20"/>
                <w:szCs w:val="20"/>
              </w:rPr>
              <w:t>The Department’s FOI area is to undertake a review of all Charges Notices and Charges Decisions issued</w:t>
            </w:r>
            <w:r>
              <w:rPr>
                <w:color w:val="000000" w:themeColor="text1"/>
                <w:sz w:val="20"/>
                <w:szCs w:val="20"/>
              </w:rPr>
              <w:t xml:space="preserve"> </w:t>
            </w:r>
            <w:r w:rsidRPr="00605744">
              <w:rPr>
                <w:color w:val="000000" w:themeColor="text1"/>
                <w:sz w:val="20"/>
                <w:szCs w:val="20"/>
              </w:rPr>
              <w:t>26 February 2024 and 26 August 2024 to ensure that the amendments to the FOI Procedural Manual have been effectively implemented into the Department’s practices and procedures.</w:t>
            </w:r>
          </w:p>
          <w:p w14:paraId="53913443" w14:textId="2FBF33AA" w:rsidR="00FF43B9" w:rsidRPr="00605744" w:rsidRDefault="00FF43B9" w:rsidP="00FF43B9">
            <w:pPr>
              <w:pStyle w:val="ListParagraph"/>
              <w:numPr>
                <w:ilvl w:val="0"/>
                <w:numId w:val="64"/>
              </w:numPr>
              <w:autoSpaceDE w:val="0"/>
              <w:autoSpaceDN w:val="0"/>
              <w:adjustRightInd w:val="0"/>
              <w:spacing w:after="0" w:line="240" w:lineRule="auto"/>
              <w:rPr>
                <w:color w:val="000000" w:themeColor="text1"/>
                <w:sz w:val="20"/>
                <w:szCs w:val="20"/>
              </w:rPr>
            </w:pPr>
            <w:r w:rsidRPr="00605744">
              <w:rPr>
                <w:color w:val="000000" w:themeColor="text1"/>
                <w:sz w:val="20"/>
                <w:szCs w:val="20"/>
              </w:rPr>
              <w:t>The Department report the results of the assessment referred to in paragraph (c) to the OAIC. The report should also include steps the Department is seeking to take to address circumstances where a charge was imposed using a charges calculator and sampling was not undertaken.</w:t>
            </w:r>
          </w:p>
          <w:p w14:paraId="654DBE06" w14:textId="77777777" w:rsidR="00FF43B9" w:rsidRDefault="00FF43B9" w:rsidP="00FF43B9">
            <w:pPr>
              <w:autoSpaceDE w:val="0"/>
              <w:autoSpaceDN w:val="0"/>
              <w:adjustRightInd w:val="0"/>
              <w:spacing w:after="0" w:line="240" w:lineRule="auto"/>
              <w:rPr>
                <w:color w:val="000000" w:themeColor="text1"/>
                <w:sz w:val="20"/>
                <w:szCs w:val="20"/>
              </w:rPr>
            </w:pPr>
          </w:p>
          <w:p w14:paraId="6C1D83C7" w14:textId="0C243D3B" w:rsidR="00FF43B9" w:rsidRPr="00605744"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w:t>
            </w:r>
            <w:r w:rsidRPr="00605744">
              <w:rPr>
                <w:color w:val="000000" w:themeColor="text1"/>
                <w:sz w:val="20"/>
                <w:szCs w:val="20"/>
              </w:rPr>
              <w:t xml:space="preserve"> suggestions made:</w:t>
            </w:r>
          </w:p>
          <w:p w14:paraId="579219F0" w14:textId="77777777" w:rsidR="00FF43B9" w:rsidRPr="00605744" w:rsidRDefault="00FF43B9" w:rsidP="00FF43B9">
            <w:pPr>
              <w:pStyle w:val="ListParagraph"/>
              <w:numPr>
                <w:ilvl w:val="0"/>
                <w:numId w:val="65"/>
              </w:numPr>
              <w:autoSpaceDE w:val="0"/>
              <w:autoSpaceDN w:val="0"/>
              <w:adjustRightInd w:val="0"/>
              <w:spacing w:after="0" w:line="240" w:lineRule="auto"/>
              <w:rPr>
                <w:color w:val="000000" w:themeColor="text1"/>
                <w:sz w:val="20"/>
                <w:szCs w:val="20"/>
              </w:rPr>
            </w:pPr>
            <w:r w:rsidRPr="00605744">
              <w:rPr>
                <w:color w:val="000000" w:themeColor="text1"/>
                <w:sz w:val="20"/>
                <w:szCs w:val="20"/>
              </w:rPr>
              <w:t>The Department is to upload the documents relevant to the complainant’s third request of 1 December 2020 (Department reference 67625) onto its disclosure log, or provide submissions to the OAIC outlining the reasons why these documents cannot be included on the disclosure log</w:t>
            </w:r>
          </w:p>
          <w:p w14:paraId="7F5BE2FC" w14:textId="59A21FAD" w:rsidR="00FF43B9" w:rsidRDefault="00FF43B9" w:rsidP="00FF43B9">
            <w:pPr>
              <w:pStyle w:val="ListParagraph"/>
              <w:numPr>
                <w:ilvl w:val="0"/>
                <w:numId w:val="65"/>
              </w:numPr>
              <w:autoSpaceDE w:val="0"/>
              <w:autoSpaceDN w:val="0"/>
              <w:adjustRightInd w:val="0"/>
              <w:spacing w:after="0" w:line="240" w:lineRule="auto"/>
              <w:rPr>
                <w:color w:val="000000" w:themeColor="text1"/>
                <w:sz w:val="20"/>
                <w:szCs w:val="20"/>
              </w:rPr>
            </w:pPr>
            <w:r w:rsidRPr="00605744">
              <w:rPr>
                <w:color w:val="000000" w:themeColor="text1"/>
                <w:sz w:val="20"/>
                <w:szCs w:val="20"/>
              </w:rPr>
              <w:t>If relevant, the Department is to advise the OAIC the documents have been uploaded to the disclosure log and provide a link to the relevant documents.</w:t>
            </w:r>
            <w:r>
              <w:t xml:space="preserve"> </w:t>
            </w:r>
          </w:p>
        </w:tc>
        <w:tc>
          <w:tcPr>
            <w:tcW w:w="2127" w:type="dxa"/>
          </w:tcPr>
          <w:p w14:paraId="031FCBFF" w14:textId="333A9BA1" w:rsidR="00FF43B9" w:rsidRDefault="005D6C84" w:rsidP="00FF43B9">
            <w:pPr>
              <w:rPr>
                <w:sz w:val="20"/>
                <w:szCs w:val="20"/>
              </w:rPr>
            </w:pPr>
            <w:r>
              <w:rPr>
                <w:sz w:val="20"/>
                <w:szCs w:val="20"/>
              </w:rPr>
              <w:t>Recommendations implemented</w:t>
            </w:r>
            <w:r w:rsidR="00C119FC">
              <w:rPr>
                <w:sz w:val="20"/>
                <w:szCs w:val="20"/>
              </w:rPr>
              <w:t xml:space="preserve">; </w:t>
            </w:r>
            <w:r w:rsidR="00564129">
              <w:rPr>
                <w:sz w:val="20"/>
                <w:szCs w:val="20"/>
              </w:rPr>
              <w:t>suggestion</w:t>
            </w:r>
            <w:r w:rsidR="00C119FC">
              <w:rPr>
                <w:sz w:val="20"/>
                <w:szCs w:val="20"/>
              </w:rPr>
              <w:t>s</w:t>
            </w:r>
            <w:r w:rsidR="00564129">
              <w:rPr>
                <w:sz w:val="20"/>
                <w:szCs w:val="20"/>
              </w:rPr>
              <w:t xml:space="preserve"> implemented</w:t>
            </w:r>
          </w:p>
        </w:tc>
        <w:tc>
          <w:tcPr>
            <w:tcW w:w="1984" w:type="dxa"/>
          </w:tcPr>
          <w:p w14:paraId="75E1B626" w14:textId="6839B5FD" w:rsidR="00FF43B9" w:rsidRDefault="005D6C84" w:rsidP="00FF43B9">
            <w:pPr>
              <w:rPr>
                <w:sz w:val="20"/>
                <w:szCs w:val="20"/>
              </w:rPr>
            </w:pPr>
            <w:r>
              <w:rPr>
                <w:sz w:val="20"/>
                <w:szCs w:val="20"/>
              </w:rPr>
              <w:t>No further action required.</w:t>
            </w:r>
          </w:p>
        </w:tc>
      </w:tr>
      <w:tr w:rsidR="00FF43B9" w:rsidRPr="00D94668" w14:paraId="1E46B838" w14:textId="77777777" w:rsidTr="0086062E">
        <w:trPr>
          <w:trHeight w:val="917"/>
        </w:trPr>
        <w:tc>
          <w:tcPr>
            <w:tcW w:w="1888" w:type="dxa"/>
          </w:tcPr>
          <w:p w14:paraId="1EB80032" w14:textId="32A4430A" w:rsidR="00FF43B9" w:rsidRDefault="00FF43B9" w:rsidP="00FF43B9">
            <w:pPr>
              <w:rPr>
                <w:color w:val="000000" w:themeColor="text1"/>
                <w:sz w:val="20"/>
                <w:szCs w:val="20"/>
              </w:rPr>
            </w:pPr>
            <w:r>
              <w:rPr>
                <w:color w:val="000000" w:themeColor="text1"/>
                <w:sz w:val="20"/>
                <w:szCs w:val="20"/>
              </w:rPr>
              <w:t>Department of Health and Aged Care</w:t>
            </w:r>
          </w:p>
        </w:tc>
        <w:tc>
          <w:tcPr>
            <w:tcW w:w="2223" w:type="dxa"/>
          </w:tcPr>
          <w:p w14:paraId="13EC40C7" w14:textId="0EC464EC" w:rsidR="00FF43B9" w:rsidRDefault="00FF43B9" w:rsidP="00FF43B9">
            <w:pPr>
              <w:rPr>
                <w:color w:val="000000" w:themeColor="text1"/>
                <w:sz w:val="20"/>
                <w:szCs w:val="20"/>
              </w:rPr>
            </w:pPr>
            <w:r>
              <w:rPr>
                <w:color w:val="000000" w:themeColor="text1"/>
                <w:sz w:val="20"/>
                <w:szCs w:val="20"/>
              </w:rPr>
              <w:t xml:space="preserve">Whether the Department provided adequate assistance to complainant so that she could pay a charge and secure release of documents requested </w:t>
            </w:r>
            <w:r>
              <w:rPr>
                <w:color w:val="000000" w:themeColor="text1"/>
                <w:sz w:val="20"/>
                <w:szCs w:val="20"/>
              </w:rPr>
              <w:lastRenderedPageBreak/>
              <w:t>under s 15 of the FOI Act</w:t>
            </w:r>
          </w:p>
        </w:tc>
        <w:tc>
          <w:tcPr>
            <w:tcW w:w="1352" w:type="dxa"/>
          </w:tcPr>
          <w:p w14:paraId="697DD820" w14:textId="7D52449F" w:rsidR="00FF43B9" w:rsidRDefault="00FF43B9" w:rsidP="00FF43B9">
            <w:pPr>
              <w:rPr>
                <w:color w:val="000000" w:themeColor="text1"/>
                <w:sz w:val="20"/>
                <w:szCs w:val="20"/>
              </w:rPr>
            </w:pPr>
            <w:r>
              <w:rPr>
                <w:color w:val="000000" w:themeColor="text1"/>
                <w:sz w:val="20"/>
                <w:szCs w:val="20"/>
              </w:rPr>
              <w:lastRenderedPageBreak/>
              <w:t>Non-personal</w:t>
            </w:r>
          </w:p>
        </w:tc>
        <w:tc>
          <w:tcPr>
            <w:tcW w:w="1483" w:type="dxa"/>
          </w:tcPr>
          <w:p w14:paraId="1BD9288E" w14:textId="08B3E4F4" w:rsidR="00FF43B9" w:rsidRDefault="00FF43B9" w:rsidP="00FF43B9">
            <w:pPr>
              <w:rPr>
                <w:color w:val="000000" w:themeColor="text1"/>
                <w:sz w:val="20"/>
                <w:szCs w:val="20"/>
              </w:rPr>
            </w:pPr>
            <w:r>
              <w:rPr>
                <w:color w:val="000000" w:themeColor="text1"/>
                <w:sz w:val="20"/>
                <w:szCs w:val="20"/>
              </w:rPr>
              <w:t>26 February 2024</w:t>
            </w:r>
          </w:p>
        </w:tc>
        <w:tc>
          <w:tcPr>
            <w:tcW w:w="4395" w:type="dxa"/>
          </w:tcPr>
          <w:p w14:paraId="2EC37387" w14:textId="56D0A9D2" w:rsidR="00FF43B9" w:rsidRDefault="00FF43B9" w:rsidP="00FF43B9">
            <w:pPr>
              <w:rPr>
                <w:color w:val="000000" w:themeColor="text1"/>
                <w:sz w:val="20"/>
                <w:szCs w:val="20"/>
              </w:rPr>
            </w:pPr>
            <w:r>
              <w:rPr>
                <w:color w:val="000000" w:themeColor="text1"/>
                <w:sz w:val="20"/>
                <w:szCs w:val="20"/>
              </w:rPr>
              <w:t xml:space="preserve">The complaint was substantiated. </w:t>
            </w:r>
          </w:p>
          <w:p w14:paraId="74F59CC2" w14:textId="4463410D" w:rsidR="00FF43B9" w:rsidRPr="00E30FC1" w:rsidRDefault="00FF43B9" w:rsidP="00FF43B9">
            <w:pPr>
              <w:rPr>
                <w:color w:val="000000" w:themeColor="text1"/>
                <w:sz w:val="20"/>
                <w:szCs w:val="20"/>
              </w:rPr>
            </w:pPr>
            <w:r>
              <w:rPr>
                <w:color w:val="000000" w:themeColor="text1"/>
                <w:sz w:val="20"/>
                <w:szCs w:val="20"/>
              </w:rPr>
              <w:t xml:space="preserve">The Department acted inconsistently with the FOI Act, the </w:t>
            </w:r>
            <w:r>
              <w:rPr>
                <w:i/>
                <w:iCs/>
                <w:color w:val="000000" w:themeColor="text1"/>
                <w:sz w:val="20"/>
                <w:szCs w:val="20"/>
              </w:rPr>
              <w:t xml:space="preserve">Freedom of Information (Charges) Regulations 2019 </w:t>
            </w:r>
            <w:r>
              <w:rPr>
                <w:color w:val="000000" w:themeColor="text1"/>
                <w:sz w:val="20"/>
                <w:szCs w:val="20"/>
              </w:rPr>
              <w:t xml:space="preserve">and the FOI Guidelines in respect of finding the complainant liable to pay a charge. </w:t>
            </w:r>
          </w:p>
        </w:tc>
        <w:tc>
          <w:tcPr>
            <w:tcW w:w="5811" w:type="dxa"/>
          </w:tcPr>
          <w:p w14:paraId="73543754"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 recommendations made:</w:t>
            </w:r>
          </w:p>
          <w:p w14:paraId="0038EB34" w14:textId="3F5C9236" w:rsidR="00FF43B9" w:rsidRDefault="00FF43B9" w:rsidP="00FF43B9">
            <w:pPr>
              <w:pStyle w:val="ListParagraph"/>
              <w:numPr>
                <w:ilvl w:val="0"/>
                <w:numId w:val="66"/>
              </w:numPr>
              <w:autoSpaceDE w:val="0"/>
              <w:autoSpaceDN w:val="0"/>
              <w:adjustRightInd w:val="0"/>
              <w:spacing w:after="0" w:line="240" w:lineRule="auto"/>
              <w:rPr>
                <w:color w:val="000000" w:themeColor="text1"/>
                <w:sz w:val="20"/>
                <w:szCs w:val="20"/>
              </w:rPr>
            </w:pPr>
            <w:r>
              <w:rPr>
                <w:color w:val="000000" w:themeColor="text1"/>
                <w:sz w:val="20"/>
                <w:szCs w:val="20"/>
              </w:rPr>
              <w:t xml:space="preserve">The Department is to update its FOI Guidelines/Procedure Manual such that it better reflects the charges process in accordance with the FOI Act and/or FOI Guidelines. In particular, the amendments should highlight the discretionary nature of charges, the expectation that sampling will occur when using a charges calculator, and </w:t>
            </w:r>
            <w:r>
              <w:rPr>
                <w:color w:val="000000" w:themeColor="text1"/>
                <w:sz w:val="20"/>
                <w:szCs w:val="20"/>
              </w:rPr>
              <w:lastRenderedPageBreak/>
              <w:t>the ongoing obligation of the Department to continue to be satisfied that the charge should be imposed.</w:t>
            </w:r>
          </w:p>
          <w:p w14:paraId="00374171" w14:textId="1DF9483A" w:rsidR="00FF43B9" w:rsidRPr="0031701A" w:rsidRDefault="00FF43B9" w:rsidP="00FF43B9">
            <w:pPr>
              <w:pStyle w:val="ListParagraph"/>
              <w:numPr>
                <w:ilvl w:val="0"/>
                <w:numId w:val="66"/>
              </w:numPr>
              <w:autoSpaceDE w:val="0"/>
              <w:autoSpaceDN w:val="0"/>
              <w:adjustRightInd w:val="0"/>
              <w:spacing w:after="0" w:line="240" w:lineRule="auto"/>
              <w:rPr>
                <w:color w:val="000000" w:themeColor="text1"/>
                <w:sz w:val="20"/>
                <w:szCs w:val="20"/>
              </w:rPr>
            </w:pPr>
            <w:r w:rsidRPr="0031701A">
              <w:rPr>
                <w:color w:val="000000" w:themeColor="text1"/>
                <w:sz w:val="20"/>
                <w:szCs w:val="20"/>
              </w:rPr>
              <w:t>The Department’s FOI branch is to undergo training to ensure compliance with the updated FOI Guidelines / Procedure Manual. Evidence of the training is to be created and retained by the Department.</w:t>
            </w:r>
            <w:r>
              <w:rPr>
                <w:color w:val="000000" w:themeColor="text1"/>
                <w:sz w:val="20"/>
                <w:szCs w:val="20"/>
              </w:rPr>
              <w:br/>
            </w:r>
          </w:p>
          <w:p w14:paraId="5CAA8CAB"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 suggestions made:</w:t>
            </w:r>
          </w:p>
          <w:p w14:paraId="5ED5EA6E" w14:textId="77777777" w:rsidR="00FF43B9" w:rsidRDefault="00FF43B9" w:rsidP="00FF43B9">
            <w:pPr>
              <w:pStyle w:val="ListParagraph"/>
              <w:numPr>
                <w:ilvl w:val="0"/>
                <w:numId w:val="67"/>
              </w:numPr>
              <w:autoSpaceDE w:val="0"/>
              <w:autoSpaceDN w:val="0"/>
              <w:adjustRightInd w:val="0"/>
              <w:spacing w:after="0" w:line="240" w:lineRule="auto"/>
              <w:rPr>
                <w:color w:val="000000" w:themeColor="text1"/>
                <w:sz w:val="20"/>
                <w:szCs w:val="20"/>
              </w:rPr>
            </w:pPr>
            <w:r>
              <w:rPr>
                <w:color w:val="000000" w:themeColor="text1"/>
                <w:sz w:val="20"/>
                <w:szCs w:val="20"/>
              </w:rPr>
              <w:t>The Department give consideration to providing the complainant with a full refund of the deposit ($60)</w:t>
            </w:r>
          </w:p>
          <w:p w14:paraId="0D8BC221" w14:textId="007C0D87" w:rsidR="00FF43B9" w:rsidRPr="00A84BDA" w:rsidRDefault="00FF43B9" w:rsidP="00FF43B9">
            <w:pPr>
              <w:pStyle w:val="ListParagraph"/>
              <w:numPr>
                <w:ilvl w:val="0"/>
                <w:numId w:val="67"/>
              </w:numPr>
              <w:autoSpaceDE w:val="0"/>
              <w:autoSpaceDN w:val="0"/>
              <w:adjustRightInd w:val="0"/>
              <w:spacing w:after="0" w:line="240" w:lineRule="auto"/>
              <w:rPr>
                <w:color w:val="000000" w:themeColor="text1"/>
                <w:sz w:val="20"/>
                <w:szCs w:val="20"/>
              </w:rPr>
            </w:pPr>
            <w:r>
              <w:rPr>
                <w:color w:val="000000" w:themeColor="text1"/>
                <w:sz w:val="20"/>
                <w:szCs w:val="20"/>
              </w:rPr>
              <w:t>The Department is to provide an update to the OAIC as soon as practicable as to whether a full refund has been, or will be, provided.</w:t>
            </w:r>
          </w:p>
        </w:tc>
        <w:tc>
          <w:tcPr>
            <w:tcW w:w="2127" w:type="dxa"/>
          </w:tcPr>
          <w:p w14:paraId="14F9F7C7" w14:textId="2059DEA0" w:rsidR="00FF43B9" w:rsidRDefault="00FF43B9" w:rsidP="00FF43B9">
            <w:pPr>
              <w:rPr>
                <w:sz w:val="20"/>
                <w:szCs w:val="20"/>
              </w:rPr>
            </w:pPr>
            <w:r>
              <w:rPr>
                <w:sz w:val="20"/>
                <w:szCs w:val="20"/>
              </w:rPr>
              <w:lastRenderedPageBreak/>
              <w:t>Recommendations accepted; to implement.</w:t>
            </w:r>
          </w:p>
          <w:p w14:paraId="45A32502" w14:textId="649A7D8B" w:rsidR="00FF43B9" w:rsidRDefault="00FF43B9" w:rsidP="00FF43B9">
            <w:pPr>
              <w:rPr>
                <w:sz w:val="20"/>
                <w:szCs w:val="20"/>
              </w:rPr>
            </w:pPr>
            <w:r>
              <w:rPr>
                <w:sz w:val="20"/>
                <w:szCs w:val="20"/>
              </w:rPr>
              <w:t xml:space="preserve">Suggestions not accepted. </w:t>
            </w:r>
          </w:p>
        </w:tc>
        <w:tc>
          <w:tcPr>
            <w:tcW w:w="1984" w:type="dxa"/>
          </w:tcPr>
          <w:p w14:paraId="1ECFA056" w14:textId="77777777" w:rsidR="00FF43B9" w:rsidRDefault="00FF43B9" w:rsidP="00FF43B9">
            <w:pPr>
              <w:rPr>
                <w:sz w:val="20"/>
                <w:szCs w:val="20"/>
              </w:rPr>
            </w:pPr>
          </w:p>
        </w:tc>
      </w:tr>
      <w:tr w:rsidR="00FF43B9" w:rsidRPr="00D94668" w14:paraId="3B6AFCA5" w14:textId="77777777" w:rsidTr="0086062E">
        <w:trPr>
          <w:trHeight w:val="917"/>
        </w:trPr>
        <w:tc>
          <w:tcPr>
            <w:tcW w:w="1888" w:type="dxa"/>
          </w:tcPr>
          <w:p w14:paraId="63B0EF5A" w14:textId="0E10636D" w:rsidR="00FF43B9" w:rsidRDefault="00FF43B9" w:rsidP="00FF43B9">
            <w:pPr>
              <w:rPr>
                <w:color w:val="000000" w:themeColor="text1"/>
                <w:sz w:val="20"/>
                <w:szCs w:val="20"/>
              </w:rPr>
            </w:pPr>
            <w:r>
              <w:rPr>
                <w:color w:val="000000" w:themeColor="text1"/>
                <w:sz w:val="20"/>
                <w:szCs w:val="20"/>
              </w:rPr>
              <w:t>Services Australia</w:t>
            </w:r>
          </w:p>
        </w:tc>
        <w:tc>
          <w:tcPr>
            <w:tcW w:w="2223" w:type="dxa"/>
          </w:tcPr>
          <w:p w14:paraId="15DB2D6F" w14:textId="59F6E5D0" w:rsidR="00FF43B9" w:rsidRDefault="00FF43B9" w:rsidP="00FF43B9">
            <w:pPr>
              <w:rPr>
                <w:color w:val="000000" w:themeColor="text1"/>
                <w:sz w:val="20"/>
                <w:szCs w:val="20"/>
              </w:rPr>
            </w:pPr>
            <w:r>
              <w:rPr>
                <w:color w:val="000000" w:themeColor="text1"/>
                <w:sz w:val="20"/>
                <w:szCs w:val="20"/>
              </w:rPr>
              <w:t>Whether Services Australia is imposing charges on FOI applicants to deter them from perusing their requests</w:t>
            </w:r>
          </w:p>
        </w:tc>
        <w:tc>
          <w:tcPr>
            <w:tcW w:w="1352" w:type="dxa"/>
          </w:tcPr>
          <w:p w14:paraId="146AB7B8" w14:textId="2156CE45" w:rsidR="00FF43B9" w:rsidRDefault="00FF43B9" w:rsidP="00FF43B9">
            <w:pPr>
              <w:rPr>
                <w:color w:val="000000" w:themeColor="text1"/>
                <w:sz w:val="20"/>
                <w:szCs w:val="20"/>
              </w:rPr>
            </w:pPr>
            <w:r>
              <w:rPr>
                <w:color w:val="000000" w:themeColor="text1"/>
                <w:sz w:val="20"/>
                <w:szCs w:val="20"/>
              </w:rPr>
              <w:t>Non-personal</w:t>
            </w:r>
          </w:p>
        </w:tc>
        <w:tc>
          <w:tcPr>
            <w:tcW w:w="1483" w:type="dxa"/>
          </w:tcPr>
          <w:p w14:paraId="5D16D0C1" w14:textId="6756A9B9" w:rsidR="00FF43B9" w:rsidRDefault="00FF43B9" w:rsidP="00FF43B9">
            <w:pPr>
              <w:rPr>
                <w:color w:val="000000" w:themeColor="text1"/>
                <w:sz w:val="20"/>
                <w:szCs w:val="20"/>
              </w:rPr>
            </w:pPr>
            <w:r>
              <w:rPr>
                <w:color w:val="000000" w:themeColor="text1"/>
                <w:sz w:val="20"/>
                <w:szCs w:val="20"/>
              </w:rPr>
              <w:t>23 February 2024</w:t>
            </w:r>
          </w:p>
        </w:tc>
        <w:tc>
          <w:tcPr>
            <w:tcW w:w="4395" w:type="dxa"/>
          </w:tcPr>
          <w:p w14:paraId="4F535DD2" w14:textId="56F97345" w:rsidR="00FF43B9" w:rsidRDefault="00FF43B9" w:rsidP="00FF43B9">
            <w:pPr>
              <w:rPr>
                <w:color w:val="000000" w:themeColor="text1"/>
                <w:sz w:val="20"/>
                <w:szCs w:val="20"/>
              </w:rPr>
            </w:pPr>
            <w:r>
              <w:rPr>
                <w:color w:val="000000" w:themeColor="text1"/>
                <w:sz w:val="20"/>
                <w:szCs w:val="20"/>
              </w:rPr>
              <w:t>The complaint was substantiated.</w:t>
            </w:r>
          </w:p>
        </w:tc>
        <w:tc>
          <w:tcPr>
            <w:tcW w:w="5811" w:type="dxa"/>
          </w:tcPr>
          <w:p w14:paraId="25DE909C"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Four recommendations made:</w:t>
            </w:r>
          </w:p>
          <w:p w14:paraId="3616788E" w14:textId="68D899F8" w:rsidR="00FF43B9" w:rsidRDefault="00FF43B9" w:rsidP="00FF43B9">
            <w:pPr>
              <w:pStyle w:val="ListParagraph"/>
              <w:numPr>
                <w:ilvl w:val="0"/>
                <w:numId w:val="68"/>
              </w:numPr>
              <w:autoSpaceDE w:val="0"/>
              <w:autoSpaceDN w:val="0"/>
              <w:adjustRightInd w:val="0"/>
              <w:spacing w:after="0" w:line="240" w:lineRule="auto"/>
              <w:rPr>
                <w:color w:val="000000" w:themeColor="text1"/>
                <w:sz w:val="20"/>
                <w:szCs w:val="20"/>
              </w:rPr>
            </w:pPr>
            <w:r>
              <w:rPr>
                <w:color w:val="000000" w:themeColor="text1"/>
                <w:sz w:val="20"/>
                <w:szCs w:val="20"/>
              </w:rPr>
              <w:t>Services Australia must update its policies, training manuals, and/or guidance material to accurately reflect the FOI Act and FOI Guidelines in respect of charges, to include:</w:t>
            </w:r>
          </w:p>
          <w:p w14:paraId="1D3B010F" w14:textId="38EC38A7" w:rsidR="00FF43B9" w:rsidRDefault="00FF43B9" w:rsidP="00FF43B9">
            <w:pPr>
              <w:pStyle w:val="ListParagraph"/>
              <w:numPr>
                <w:ilvl w:val="1"/>
                <w:numId w:val="48"/>
              </w:numPr>
              <w:autoSpaceDE w:val="0"/>
              <w:autoSpaceDN w:val="0"/>
              <w:adjustRightInd w:val="0"/>
              <w:spacing w:after="0" w:line="240" w:lineRule="auto"/>
              <w:rPr>
                <w:color w:val="000000" w:themeColor="text1"/>
                <w:sz w:val="20"/>
                <w:szCs w:val="20"/>
              </w:rPr>
            </w:pPr>
            <w:r>
              <w:rPr>
                <w:color w:val="000000" w:themeColor="text1"/>
                <w:sz w:val="20"/>
                <w:szCs w:val="20"/>
              </w:rPr>
              <w:t>FOI officers must consider whether it is appropriate to find an FOI applicant liable to pay a charge before issuing a notice pursuant to s 29(1) of the FOI Act ('Charges Notice')</w:t>
            </w:r>
          </w:p>
          <w:p w14:paraId="6E2DCC91" w14:textId="42E2D149" w:rsidR="00FF43B9" w:rsidRDefault="00FF43B9" w:rsidP="00FF43B9">
            <w:pPr>
              <w:pStyle w:val="ListParagraph"/>
              <w:numPr>
                <w:ilvl w:val="1"/>
                <w:numId w:val="48"/>
              </w:numPr>
              <w:autoSpaceDE w:val="0"/>
              <w:autoSpaceDN w:val="0"/>
              <w:adjustRightInd w:val="0"/>
              <w:spacing w:after="0" w:line="240" w:lineRule="auto"/>
              <w:rPr>
                <w:color w:val="000000" w:themeColor="text1"/>
                <w:sz w:val="20"/>
                <w:szCs w:val="20"/>
              </w:rPr>
            </w:pPr>
            <w:r>
              <w:rPr>
                <w:color w:val="000000" w:themeColor="text1"/>
                <w:sz w:val="20"/>
                <w:szCs w:val="20"/>
              </w:rPr>
              <w:t>FOI officers must only issue a Charges Notice in circumstances where they have undertaken sampling and have obtained an accurate estimate of the charge, and</w:t>
            </w:r>
          </w:p>
          <w:p w14:paraId="5F5DD5C7" w14:textId="177D4F12" w:rsidR="00FF43B9" w:rsidRDefault="00FF43B9" w:rsidP="00FF43B9">
            <w:pPr>
              <w:pStyle w:val="ListParagraph"/>
              <w:numPr>
                <w:ilvl w:val="1"/>
                <w:numId w:val="48"/>
              </w:numPr>
              <w:autoSpaceDE w:val="0"/>
              <w:autoSpaceDN w:val="0"/>
              <w:adjustRightInd w:val="0"/>
              <w:spacing w:after="0" w:line="240" w:lineRule="auto"/>
              <w:rPr>
                <w:color w:val="000000" w:themeColor="text1"/>
                <w:sz w:val="20"/>
                <w:szCs w:val="20"/>
              </w:rPr>
            </w:pPr>
            <w:r>
              <w:rPr>
                <w:color w:val="000000" w:themeColor="text1"/>
                <w:sz w:val="20"/>
                <w:szCs w:val="20"/>
              </w:rPr>
              <w:t>FOI officers must document their reasons for justifying the imposition of a charge where it has previously been decided that a practical refusal reason exists but either through consultation or Information Commissioner (IC) review, the practical refusal reason no longer exists or is found not to exist.</w:t>
            </w:r>
          </w:p>
          <w:p w14:paraId="14453CA6" w14:textId="77777777" w:rsidR="00FF43B9" w:rsidRDefault="00FF43B9" w:rsidP="00FF43B9">
            <w:pPr>
              <w:pStyle w:val="ListParagraph"/>
              <w:numPr>
                <w:ilvl w:val="0"/>
                <w:numId w:val="68"/>
              </w:numPr>
              <w:autoSpaceDE w:val="0"/>
              <w:autoSpaceDN w:val="0"/>
              <w:adjustRightInd w:val="0"/>
              <w:spacing w:after="0" w:line="240" w:lineRule="auto"/>
              <w:rPr>
                <w:color w:val="000000" w:themeColor="text1"/>
                <w:sz w:val="20"/>
                <w:szCs w:val="20"/>
              </w:rPr>
            </w:pPr>
            <w:r>
              <w:rPr>
                <w:color w:val="000000" w:themeColor="text1"/>
                <w:sz w:val="20"/>
                <w:szCs w:val="20"/>
              </w:rPr>
              <w:t>Services Australia is to provide formal training supported by documentation to its staff engaged in processing FOI requests with a particular focus on:</w:t>
            </w:r>
          </w:p>
          <w:p w14:paraId="4F896FE0" w14:textId="17546030" w:rsidR="00FF43B9" w:rsidRDefault="00FF43B9" w:rsidP="00FF43B9">
            <w:pPr>
              <w:pStyle w:val="ListParagraph"/>
              <w:numPr>
                <w:ilvl w:val="0"/>
                <w:numId w:val="69"/>
              </w:numPr>
              <w:autoSpaceDE w:val="0"/>
              <w:autoSpaceDN w:val="0"/>
              <w:adjustRightInd w:val="0"/>
              <w:spacing w:after="0" w:line="240" w:lineRule="auto"/>
              <w:rPr>
                <w:color w:val="000000" w:themeColor="text1"/>
                <w:sz w:val="20"/>
                <w:szCs w:val="20"/>
              </w:rPr>
            </w:pPr>
            <w:r>
              <w:rPr>
                <w:color w:val="000000" w:themeColor="text1"/>
                <w:sz w:val="20"/>
                <w:szCs w:val="20"/>
              </w:rPr>
              <w:t>the guiding principles of the charges framework, including the discretionary nature of charges, and</w:t>
            </w:r>
          </w:p>
          <w:p w14:paraId="20390401" w14:textId="77B4B906" w:rsidR="00FF43B9" w:rsidRDefault="00FF43B9" w:rsidP="00FF43B9">
            <w:pPr>
              <w:pStyle w:val="ListParagraph"/>
              <w:numPr>
                <w:ilvl w:val="0"/>
                <w:numId w:val="69"/>
              </w:numPr>
              <w:autoSpaceDE w:val="0"/>
              <w:autoSpaceDN w:val="0"/>
              <w:adjustRightInd w:val="0"/>
              <w:spacing w:after="0" w:line="240" w:lineRule="auto"/>
              <w:rPr>
                <w:color w:val="000000" w:themeColor="text1"/>
                <w:sz w:val="20"/>
                <w:szCs w:val="20"/>
              </w:rPr>
            </w:pPr>
            <w:r>
              <w:rPr>
                <w:color w:val="000000" w:themeColor="text1"/>
                <w:sz w:val="20"/>
                <w:szCs w:val="20"/>
              </w:rPr>
              <w:t>processes following IC review, with specific regard to the objects of the FOI Act.</w:t>
            </w:r>
          </w:p>
          <w:p w14:paraId="2508098F" w14:textId="77777777" w:rsidR="00FF43B9" w:rsidRDefault="00FF43B9" w:rsidP="00FF43B9">
            <w:pPr>
              <w:pStyle w:val="ListParagraph"/>
              <w:numPr>
                <w:ilvl w:val="0"/>
                <w:numId w:val="68"/>
              </w:numPr>
              <w:autoSpaceDE w:val="0"/>
              <w:autoSpaceDN w:val="0"/>
              <w:adjustRightInd w:val="0"/>
              <w:spacing w:after="0" w:line="240" w:lineRule="auto"/>
              <w:rPr>
                <w:color w:val="000000" w:themeColor="text1"/>
                <w:sz w:val="20"/>
                <w:szCs w:val="20"/>
              </w:rPr>
            </w:pPr>
            <w:r>
              <w:rPr>
                <w:color w:val="000000" w:themeColor="text1"/>
                <w:sz w:val="20"/>
                <w:szCs w:val="20"/>
              </w:rPr>
              <w:t>Services Australia’s FOI area assess all charges decisions made since 6 August 2020 up to 23 February 2024. The assessment should seek to identify whether Services Australia had, throughout that period, made other charges decision in a manner inconsistent with ss 3(4) and 29 of the FOI Act, and which may need to be revisited in light of the outcome of this FOI complaint, and</w:t>
            </w:r>
          </w:p>
          <w:p w14:paraId="4C4315BC" w14:textId="47EAA34A" w:rsidR="00FF43B9" w:rsidRPr="00047A81" w:rsidRDefault="00FF43B9" w:rsidP="00FF43B9">
            <w:pPr>
              <w:pStyle w:val="ListParagraph"/>
              <w:numPr>
                <w:ilvl w:val="0"/>
                <w:numId w:val="68"/>
              </w:numPr>
              <w:autoSpaceDE w:val="0"/>
              <w:autoSpaceDN w:val="0"/>
              <w:adjustRightInd w:val="0"/>
              <w:spacing w:after="0" w:line="240" w:lineRule="auto"/>
              <w:rPr>
                <w:color w:val="000000" w:themeColor="text1"/>
                <w:sz w:val="20"/>
                <w:szCs w:val="20"/>
              </w:rPr>
            </w:pPr>
            <w:r>
              <w:rPr>
                <w:color w:val="000000" w:themeColor="text1"/>
                <w:sz w:val="20"/>
                <w:szCs w:val="20"/>
              </w:rPr>
              <w:t xml:space="preserve">Services Australia report the results of the assessment referred to in recommendation c to the OAIC, highlighting the feedback and ongoing improvements in its practices </w:t>
            </w:r>
            <w:r>
              <w:rPr>
                <w:color w:val="000000" w:themeColor="text1"/>
                <w:sz w:val="20"/>
                <w:szCs w:val="20"/>
              </w:rPr>
              <w:lastRenderedPageBreak/>
              <w:t>and procedures since the implementation of the recommendations outlined above.</w:t>
            </w:r>
          </w:p>
        </w:tc>
        <w:tc>
          <w:tcPr>
            <w:tcW w:w="2127" w:type="dxa"/>
          </w:tcPr>
          <w:p w14:paraId="44A59BF9" w14:textId="524F1728" w:rsidR="00FF43B9" w:rsidRDefault="00FF43B9" w:rsidP="00FF43B9">
            <w:pPr>
              <w:rPr>
                <w:sz w:val="20"/>
                <w:szCs w:val="20"/>
              </w:rPr>
            </w:pPr>
            <w:r>
              <w:rPr>
                <w:sz w:val="20"/>
                <w:szCs w:val="20"/>
              </w:rPr>
              <w:lastRenderedPageBreak/>
              <w:t>Accepted; to implement.</w:t>
            </w:r>
          </w:p>
        </w:tc>
        <w:tc>
          <w:tcPr>
            <w:tcW w:w="1984" w:type="dxa"/>
          </w:tcPr>
          <w:p w14:paraId="205D6EA9" w14:textId="77777777" w:rsidR="00FF43B9" w:rsidRDefault="00FF43B9" w:rsidP="00FF43B9">
            <w:pPr>
              <w:rPr>
                <w:sz w:val="20"/>
                <w:szCs w:val="20"/>
              </w:rPr>
            </w:pPr>
          </w:p>
        </w:tc>
      </w:tr>
      <w:tr w:rsidR="00FF43B9" w:rsidRPr="00D94668" w14:paraId="7ACD43CF" w14:textId="77777777" w:rsidTr="0086062E">
        <w:trPr>
          <w:trHeight w:val="917"/>
        </w:trPr>
        <w:tc>
          <w:tcPr>
            <w:tcW w:w="1888" w:type="dxa"/>
          </w:tcPr>
          <w:p w14:paraId="4C507DCB" w14:textId="6FE2C010" w:rsidR="00FF43B9" w:rsidRDefault="00FF43B9" w:rsidP="00FF43B9">
            <w:pPr>
              <w:rPr>
                <w:color w:val="000000" w:themeColor="text1"/>
                <w:sz w:val="20"/>
                <w:szCs w:val="20"/>
              </w:rPr>
            </w:pPr>
            <w:r>
              <w:rPr>
                <w:color w:val="000000" w:themeColor="text1"/>
                <w:sz w:val="20"/>
                <w:szCs w:val="20"/>
              </w:rPr>
              <w:t>Services Australia</w:t>
            </w:r>
          </w:p>
        </w:tc>
        <w:tc>
          <w:tcPr>
            <w:tcW w:w="2223" w:type="dxa"/>
          </w:tcPr>
          <w:p w14:paraId="31D0439F" w14:textId="163B3BD1" w:rsidR="00FF43B9" w:rsidRDefault="00FF43B9" w:rsidP="00FF43B9">
            <w:pPr>
              <w:rPr>
                <w:color w:val="000000" w:themeColor="text1"/>
                <w:sz w:val="20"/>
                <w:szCs w:val="20"/>
              </w:rPr>
            </w:pPr>
            <w:r>
              <w:rPr>
                <w:color w:val="000000" w:themeColor="text1"/>
                <w:sz w:val="20"/>
                <w:szCs w:val="20"/>
              </w:rPr>
              <w:t>Whether Services Australia undertook a proper consideration of the issues as part of the internal review process</w:t>
            </w:r>
          </w:p>
          <w:p w14:paraId="397392D6" w14:textId="77777777" w:rsidR="00FF43B9" w:rsidRDefault="00FF43B9" w:rsidP="00FF43B9">
            <w:pPr>
              <w:rPr>
                <w:color w:val="000000" w:themeColor="text1"/>
                <w:sz w:val="20"/>
                <w:szCs w:val="20"/>
              </w:rPr>
            </w:pPr>
            <w:r>
              <w:rPr>
                <w:color w:val="000000" w:themeColor="text1"/>
                <w:sz w:val="20"/>
                <w:szCs w:val="20"/>
              </w:rPr>
              <w:t>Whether it was best practice for the original decision-maker and internal review decision-maker to be of the same classification level</w:t>
            </w:r>
          </w:p>
          <w:p w14:paraId="496913E3" w14:textId="77777777" w:rsidR="00FF43B9" w:rsidRDefault="00FF43B9" w:rsidP="00FF43B9">
            <w:pPr>
              <w:rPr>
                <w:color w:val="000000" w:themeColor="text1"/>
                <w:sz w:val="20"/>
                <w:szCs w:val="20"/>
              </w:rPr>
            </w:pPr>
            <w:r>
              <w:rPr>
                <w:color w:val="000000" w:themeColor="text1"/>
                <w:sz w:val="20"/>
                <w:szCs w:val="20"/>
              </w:rPr>
              <w:t xml:space="preserve">Whether Services Australia’s ‘vetting process’ was appropriate </w:t>
            </w:r>
          </w:p>
          <w:p w14:paraId="46F6AD89" w14:textId="0C0482D4" w:rsidR="00FF43B9" w:rsidRDefault="00FF43B9" w:rsidP="00FF43B9">
            <w:pPr>
              <w:rPr>
                <w:color w:val="000000" w:themeColor="text1"/>
                <w:sz w:val="20"/>
                <w:szCs w:val="20"/>
              </w:rPr>
            </w:pPr>
            <w:r>
              <w:rPr>
                <w:color w:val="000000" w:themeColor="text1"/>
                <w:sz w:val="20"/>
                <w:szCs w:val="20"/>
              </w:rPr>
              <w:t>Whether Services Australia properly informed the complainant of his review rights and/or timeframes for review</w:t>
            </w:r>
          </w:p>
        </w:tc>
        <w:tc>
          <w:tcPr>
            <w:tcW w:w="1352" w:type="dxa"/>
          </w:tcPr>
          <w:p w14:paraId="006C43FB" w14:textId="1B1D1C04" w:rsidR="00FF43B9" w:rsidRDefault="00FF43B9" w:rsidP="00FF43B9">
            <w:pPr>
              <w:rPr>
                <w:color w:val="000000" w:themeColor="text1"/>
                <w:sz w:val="20"/>
                <w:szCs w:val="20"/>
              </w:rPr>
            </w:pPr>
            <w:r>
              <w:rPr>
                <w:color w:val="000000" w:themeColor="text1"/>
                <w:sz w:val="20"/>
                <w:szCs w:val="20"/>
              </w:rPr>
              <w:t>Personal</w:t>
            </w:r>
          </w:p>
        </w:tc>
        <w:tc>
          <w:tcPr>
            <w:tcW w:w="1483" w:type="dxa"/>
          </w:tcPr>
          <w:p w14:paraId="5478942D" w14:textId="28D73D0C" w:rsidR="00FF43B9" w:rsidRDefault="00FF43B9" w:rsidP="00FF43B9">
            <w:pPr>
              <w:rPr>
                <w:color w:val="000000" w:themeColor="text1"/>
                <w:sz w:val="20"/>
                <w:szCs w:val="20"/>
              </w:rPr>
            </w:pPr>
            <w:r>
              <w:rPr>
                <w:color w:val="000000" w:themeColor="text1"/>
                <w:sz w:val="20"/>
                <w:szCs w:val="20"/>
              </w:rPr>
              <w:t>23 February 2024</w:t>
            </w:r>
          </w:p>
        </w:tc>
        <w:tc>
          <w:tcPr>
            <w:tcW w:w="4395" w:type="dxa"/>
          </w:tcPr>
          <w:p w14:paraId="778E111D" w14:textId="77777777" w:rsidR="00FF43B9" w:rsidRDefault="00FF43B9" w:rsidP="00FF43B9">
            <w:pPr>
              <w:rPr>
                <w:color w:val="000000" w:themeColor="text1"/>
                <w:sz w:val="20"/>
                <w:szCs w:val="20"/>
              </w:rPr>
            </w:pPr>
            <w:r>
              <w:rPr>
                <w:color w:val="000000" w:themeColor="text1"/>
                <w:sz w:val="20"/>
                <w:szCs w:val="20"/>
              </w:rPr>
              <w:t>Services Australia gave proper consideration to the issues raised by the complainant in his request for an internal review.</w:t>
            </w:r>
          </w:p>
          <w:p w14:paraId="6F5F773D" w14:textId="77777777" w:rsidR="00FF43B9" w:rsidRDefault="00FF43B9" w:rsidP="00FF43B9">
            <w:pPr>
              <w:rPr>
                <w:color w:val="000000" w:themeColor="text1"/>
                <w:sz w:val="20"/>
                <w:szCs w:val="20"/>
              </w:rPr>
            </w:pPr>
            <w:r>
              <w:rPr>
                <w:color w:val="000000" w:themeColor="text1"/>
                <w:sz w:val="20"/>
                <w:szCs w:val="20"/>
              </w:rPr>
              <w:t>The original decision-maker and internal review decision-maker were the same classification level, which is not best practice.</w:t>
            </w:r>
          </w:p>
          <w:p w14:paraId="1774D115" w14:textId="77777777" w:rsidR="00FF43B9" w:rsidRDefault="00FF43B9" w:rsidP="00FF43B9">
            <w:pPr>
              <w:rPr>
                <w:color w:val="000000" w:themeColor="text1"/>
                <w:sz w:val="20"/>
                <w:szCs w:val="20"/>
              </w:rPr>
            </w:pPr>
            <w:r>
              <w:rPr>
                <w:color w:val="000000" w:themeColor="text1"/>
                <w:sz w:val="20"/>
                <w:szCs w:val="20"/>
              </w:rPr>
              <w:t>The vetting process of Services Australia in reviewing the draft internal review decision should be improved to better reflect the objects of the FOI Act.</w:t>
            </w:r>
          </w:p>
          <w:p w14:paraId="30D971B2" w14:textId="4E8F9494" w:rsidR="00FF43B9" w:rsidRDefault="00FF43B9" w:rsidP="00FF43B9">
            <w:pPr>
              <w:rPr>
                <w:color w:val="000000" w:themeColor="text1"/>
                <w:sz w:val="20"/>
                <w:szCs w:val="20"/>
              </w:rPr>
            </w:pPr>
            <w:r>
              <w:rPr>
                <w:color w:val="000000" w:themeColor="text1"/>
                <w:sz w:val="20"/>
                <w:szCs w:val="20"/>
              </w:rPr>
              <w:t>Services Australia properly informed the complainant of his review rights and the timeframes for seeking review.</w:t>
            </w:r>
          </w:p>
        </w:tc>
        <w:tc>
          <w:tcPr>
            <w:tcW w:w="5811" w:type="dxa"/>
          </w:tcPr>
          <w:p w14:paraId="44544CB4"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 suggestions made:</w:t>
            </w:r>
          </w:p>
          <w:p w14:paraId="17AF13F3" w14:textId="044EE8B7" w:rsidR="00FF43B9" w:rsidRDefault="00FF43B9" w:rsidP="00FF43B9">
            <w:pPr>
              <w:pStyle w:val="ListParagraph"/>
              <w:numPr>
                <w:ilvl w:val="0"/>
                <w:numId w:val="70"/>
              </w:numPr>
              <w:autoSpaceDE w:val="0"/>
              <w:autoSpaceDN w:val="0"/>
              <w:adjustRightInd w:val="0"/>
              <w:spacing w:after="0" w:line="240" w:lineRule="auto"/>
              <w:rPr>
                <w:color w:val="000000" w:themeColor="text1"/>
                <w:sz w:val="20"/>
                <w:szCs w:val="20"/>
              </w:rPr>
            </w:pPr>
            <w:r>
              <w:rPr>
                <w:color w:val="000000" w:themeColor="text1"/>
                <w:sz w:val="20"/>
                <w:szCs w:val="20"/>
              </w:rPr>
              <w:t xml:space="preserve">Services Australia update it practices </w:t>
            </w:r>
            <w:proofErr w:type="gramStart"/>
            <w:r>
              <w:rPr>
                <w:color w:val="000000" w:themeColor="text1"/>
                <w:sz w:val="20"/>
                <w:szCs w:val="20"/>
              </w:rPr>
              <w:t>to ensure</w:t>
            </w:r>
            <w:proofErr w:type="gramEnd"/>
            <w:r>
              <w:rPr>
                <w:color w:val="000000" w:themeColor="text1"/>
                <w:sz w:val="20"/>
                <w:szCs w:val="20"/>
              </w:rPr>
              <w:t xml:space="preserve"> that an appropriately authorised more senior officer conducts the internal review, as per best practice.</w:t>
            </w:r>
          </w:p>
          <w:p w14:paraId="20EB7576" w14:textId="50F8D890" w:rsidR="00FF43B9" w:rsidRPr="00C90400" w:rsidRDefault="00FF43B9" w:rsidP="00FF43B9">
            <w:pPr>
              <w:pStyle w:val="ListParagraph"/>
              <w:numPr>
                <w:ilvl w:val="0"/>
                <w:numId w:val="70"/>
              </w:numPr>
              <w:autoSpaceDE w:val="0"/>
              <w:autoSpaceDN w:val="0"/>
              <w:adjustRightInd w:val="0"/>
              <w:spacing w:after="0" w:line="240" w:lineRule="auto"/>
              <w:rPr>
                <w:color w:val="000000" w:themeColor="text1"/>
                <w:sz w:val="20"/>
                <w:szCs w:val="20"/>
              </w:rPr>
            </w:pPr>
            <w:r>
              <w:rPr>
                <w:color w:val="000000" w:themeColor="text1"/>
                <w:sz w:val="20"/>
                <w:szCs w:val="20"/>
              </w:rPr>
              <w:t>Services Australia implement systems to reflect the intent of the FOI Act to facilitate prompt access to information at the lowest reasonable cost by ensuring that properly authorised officers are responsible for decision making under the FOI Act.</w:t>
            </w:r>
          </w:p>
        </w:tc>
        <w:tc>
          <w:tcPr>
            <w:tcW w:w="2127" w:type="dxa"/>
          </w:tcPr>
          <w:p w14:paraId="0405E166" w14:textId="7C240C43" w:rsidR="00FF43B9" w:rsidRDefault="00FF43B9" w:rsidP="00FF43B9">
            <w:pPr>
              <w:rPr>
                <w:sz w:val="20"/>
                <w:szCs w:val="20"/>
              </w:rPr>
            </w:pPr>
            <w:r>
              <w:rPr>
                <w:sz w:val="20"/>
                <w:szCs w:val="20"/>
              </w:rPr>
              <w:t>Not applicable.</w:t>
            </w:r>
          </w:p>
        </w:tc>
        <w:tc>
          <w:tcPr>
            <w:tcW w:w="1984" w:type="dxa"/>
          </w:tcPr>
          <w:p w14:paraId="70A4BC00" w14:textId="677D2914" w:rsidR="00FF43B9" w:rsidRDefault="00FF43B9" w:rsidP="00FF43B9">
            <w:pPr>
              <w:rPr>
                <w:sz w:val="20"/>
                <w:szCs w:val="20"/>
              </w:rPr>
            </w:pPr>
            <w:r>
              <w:rPr>
                <w:sz w:val="20"/>
                <w:szCs w:val="20"/>
              </w:rPr>
              <w:t>Not applicable.</w:t>
            </w:r>
          </w:p>
        </w:tc>
      </w:tr>
      <w:tr w:rsidR="00FF43B9" w:rsidRPr="00D94668" w14:paraId="3445AD05" w14:textId="77777777" w:rsidTr="0086062E">
        <w:trPr>
          <w:trHeight w:val="917"/>
        </w:trPr>
        <w:tc>
          <w:tcPr>
            <w:tcW w:w="1888" w:type="dxa"/>
          </w:tcPr>
          <w:p w14:paraId="3AE74443" w14:textId="69C0DC6A" w:rsidR="00FF43B9" w:rsidRDefault="00FF43B9" w:rsidP="00FF43B9">
            <w:pPr>
              <w:rPr>
                <w:color w:val="000000" w:themeColor="text1"/>
                <w:sz w:val="20"/>
                <w:szCs w:val="20"/>
              </w:rPr>
            </w:pPr>
            <w:r>
              <w:rPr>
                <w:color w:val="000000" w:themeColor="text1"/>
                <w:sz w:val="20"/>
                <w:szCs w:val="20"/>
              </w:rPr>
              <w:t>Department of Health and Aged Care</w:t>
            </w:r>
          </w:p>
        </w:tc>
        <w:tc>
          <w:tcPr>
            <w:tcW w:w="2223" w:type="dxa"/>
          </w:tcPr>
          <w:p w14:paraId="00F0089B" w14:textId="59B1D4BD" w:rsidR="00FF43B9" w:rsidRDefault="00FF43B9" w:rsidP="00FF43B9">
            <w:pPr>
              <w:rPr>
                <w:color w:val="000000" w:themeColor="text1"/>
                <w:sz w:val="20"/>
                <w:szCs w:val="20"/>
              </w:rPr>
            </w:pPr>
            <w:r>
              <w:rPr>
                <w:color w:val="000000" w:themeColor="text1"/>
                <w:sz w:val="20"/>
                <w:szCs w:val="20"/>
              </w:rPr>
              <w:t>Whether the Department took reasonable steps to assist the complainant revise the request so that the practical refusal reason no longer existed</w:t>
            </w:r>
          </w:p>
          <w:p w14:paraId="55327FFA" w14:textId="2899EA3E" w:rsidR="00FF43B9" w:rsidRDefault="00FF43B9" w:rsidP="00FF43B9">
            <w:pPr>
              <w:rPr>
                <w:color w:val="000000" w:themeColor="text1"/>
                <w:sz w:val="20"/>
                <w:szCs w:val="20"/>
              </w:rPr>
            </w:pPr>
            <w:r>
              <w:rPr>
                <w:color w:val="000000" w:themeColor="text1"/>
                <w:sz w:val="20"/>
                <w:szCs w:val="20"/>
              </w:rPr>
              <w:t>Whether, as a result of not engaging in the request consultation process, the Department was unable to properly identify the documents within the scope of the FOI request</w:t>
            </w:r>
          </w:p>
        </w:tc>
        <w:tc>
          <w:tcPr>
            <w:tcW w:w="1352" w:type="dxa"/>
          </w:tcPr>
          <w:p w14:paraId="0D647829" w14:textId="58A95C62" w:rsidR="00FF43B9" w:rsidRDefault="00FF43B9" w:rsidP="00FF43B9">
            <w:pPr>
              <w:rPr>
                <w:color w:val="000000" w:themeColor="text1"/>
                <w:sz w:val="20"/>
                <w:szCs w:val="20"/>
              </w:rPr>
            </w:pPr>
            <w:r>
              <w:rPr>
                <w:color w:val="000000" w:themeColor="text1"/>
                <w:sz w:val="20"/>
                <w:szCs w:val="20"/>
              </w:rPr>
              <w:t>Non-personal</w:t>
            </w:r>
          </w:p>
        </w:tc>
        <w:tc>
          <w:tcPr>
            <w:tcW w:w="1483" w:type="dxa"/>
          </w:tcPr>
          <w:p w14:paraId="6262644E" w14:textId="6C0BA130" w:rsidR="00FF43B9" w:rsidRDefault="00FF43B9" w:rsidP="00FF43B9">
            <w:pPr>
              <w:rPr>
                <w:color w:val="000000" w:themeColor="text1"/>
                <w:sz w:val="20"/>
                <w:szCs w:val="20"/>
              </w:rPr>
            </w:pPr>
            <w:r>
              <w:rPr>
                <w:color w:val="000000" w:themeColor="text1"/>
                <w:sz w:val="20"/>
                <w:szCs w:val="20"/>
              </w:rPr>
              <w:t>22 January 2024</w:t>
            </w:r>
          </w:p>
        </w:tc>
        <w:tc>
          <w:tcPr>
            <w:tcW w:w="4395" w:type="dxa"/>
          </w:tcPr>
          <w:p w14:paraId="73AEF301" w14:textId="1B529B84" w:rsidR="00FF43B9" w:rsidRDefault="00FF43B9" w:rsidP="00FF43B9">
            <w:pPr>
              <w:rPr>
                <w:color w:val="000000" w:themeColor="text1"/>
                <w:sz w:val="20"/>
                <w:szCs w:val="20"/>
              </w:rPr>
            </w:pPr>
            <w:r>
              <w:rPr>
                <w:color w:val="000000" w:themeColor="text1"/>
                <w:sz w:val="20"/>
                <w:szCs w:val="20"/>
              </w:rPr>
              <w:t>The complaint was substantiated.</w:t>
            </w:r>
          </w:p>
        </w:tc>
        <w:tc>
          <w:tcPr>
            <w:tcW w:w="5811" w:type="dxa"/>
          </w:tcPr>
          <w:p w14:paraId="0FEC715D"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Two recommendations were made:</w:t>
            </w:r>
          </w:p>
          <w:p w14:paraId="26D8C7FD" w14:textId="77777777" w:rsidR="00FF43B9" w:rsidRDefault="00FF43B9" w:rsidP="00FF43B9">
            <w:pPr>
              <w:pStyle w:val="ListParagraph"/>
              <w:numPr>
                <w:ilvl w:val="0"/>
                <w:numId w:val="71"/>
              </w:numPr>
              <w:autoSpaceDE w:val="0"/>
              <w:autoSpaceDN w:val="0"/>
              <w:adjustRightInd w:val="0"/>
              <w:spacing w:after="0" w:line="240" w:lineRule="auto"/>
              <w:rPr>
                <w:color w:val="000000" w:themeColor="text1"/>
                <w:sz w:val="20"/>
                <w:szCs w:val="20"/>
              </w:rPr>
            </w:pPr>
            <w:r>
              <w:rPr>
                <w:color w:val="000000" w:themeColor="text1"/>
                <w:sz w:val="20"/>
                <w:szCs w:val="20"/>
              </w:rPr>
              <w:t>The Department’s FOI area is to assess all FOI decisions made since 22 January 2024 and 22 July 2024 to seek to identify whether the changes to the Department’s practices and procedures have been effective in ensuring better compliance with the FOI Act and the FOI Guidelines, with a particular focus on assisting FOI applicants during the practical refusal process.</w:t>
            </w:r>
          </w:p>
          <w:p w14:paraId="19AD5212" w14:textId="46124DE8" w:rsidR="00FF43B9" w:rsidRPr="00121BF9" w:rsidRDefault="00FF43B9" w:rsidP="00FF43B9">
            <w:pPr>
              <w:pStyle w:val="ListParagraph"/>
              <w:numPr>
                <w:ilvl w:val="0"/>
                <w:numId w:val="71"/>
              </w:numPr>
              <w:autoSpaceDE w:val="0"/>
              <w:autoSpaceDN w:val="0"/>
              <w:adjustRightInd w:val="0"/>
              <w:spacing w:after="0" w:line="240" w:lineRule="auto"/>
              <w:rPr>
                <w:color w:val="000000" w:themeColor="text1"/>
                <w:sz w:val="20"/>
                <w:szCs w:val="20"/>
              </w:rPr>
            </w:pPr>
            <w:r>
              <w:rPr>
                <w:color w:val="000000" w:themeColor="text1"/>
                <w:sz w:val="20"/>
                <w:szCs w:val="20"/>
              </w:rPr>
              <w:t xml:space="preserve">As soon as practicable, but not later than 2 weeks after the assessment, the Department report the results of the assessment to the OAIC and also provide copies of the Department’s relevant FOI Guidelines, </w:t>
            </w:r>
            <w:proofErr w:type="spellStart"/>
            <w:r>
              <w:rPr>
                <w:color w:val="000000" w:themeColor="text1"/>
                <w:sz w:val="20"/>
                <w:szCs w:val="20"/>
              </w:rPr>
              <w:t>polices</w:t>
            </w:r>
            <w:proofErr w:type="spellEnd"/>
            <w:r>
              <w:rPr>
                <w:color w:val="000000" w:themeColor="text1"/>
                <w:sz w:val="20"/>
                <w:szCs w:val="20"/>
              </w:rPr>
              <w:t xml:space="preserve"> and procedures. </w:t>
            </w:r>
          </w:p>
        </w:tc>
        <w:tc>
          <w:tcPr>
            <w:tcW w:w="2127" w:type="dxa"/>
          </w:tcPr>
          <w:p w14:paraId="293234D0" w14:textId="69B843D8" w:rsidR="00FF43B9" w:rsidRDefault="009867AC" w:rsidP="00FF43B9">
            <w:pPr>
              <w:rPr>
                <w:sz w:val="20"/>
                <w:szCs w:val="20"/>
              </w:rPr>
            </w:pPr>
            <w:r>
              <w:rPr>
                <w:rFonts w:eastAsia="Source Sans Pro"/>
                <w:sz w:val="20"/>
                <w:szCs w:val="20"/>
              </w:rPr>
              <w:t>Recommendations implemented</w:t>
            </w:r>
            <w:r w:rsidR="00FF43B9">
              <w:rPr>
                <w:rFonts w:eastAsia="Source Sans Pro"/>
                <w:sz w:val="20"/>
                <w:szCs w:val="20"/>
              </w:rPr>
              <w:t xml:space="preserve"> </w:t>
            </w:r>
          </w:p>
        </w:tc>
        <w:tc>
          <w:tcPr>
            <w:tcW w:w="1984" w:type="dxa"/>
          </w:tcPr>
          <w:p w14:paraId="0620D2DA" w14:textId="5CCB9F72" w:rsidR="00FF43B9" w:rsidRDefault="00B87700" w:rsidP="00FF43B9">
            <w:pPr>
              <w:rPr>
                <w:sz w:val="20"/>
                <w:szCs w:val="20"/>
              </w:rPr>
            </w:pPr>
            <w:r>
              <w:rPr>
                <w:sz w:val="20"/>
                <w:szCs w:val="20"/>
              </w:rPr>
              <w:t>No further action</w:t>
            </w:r>
          </w:p>
        </w:tc>
      </w:tr>
      <w:tr w:rsidR="00FF43B9" w:rsidRPr="00D94668" w14:paraId="001D2EA5" w14:textId="77777777" w:rsidTr="0086062E">
        <w:trPr>
          <w:trHeight w:val="917"/>
        </w:trPr>
        <w:tc>
          <w:tcPr>
            <w:tcW w:w="1888" w:type="dxa"/>
          </w:tcPr>
          <w:p w14:paraId="534BAEAF" w14:textId="69BE2286" w:rsidR="00FF43B9" w:rsidRPr="00160B52" w:rsidRDefault="00FF43B9" w:rsidP="00FF43B9">
            <w:pPr>
              <w:rPr>
                <w:color w:val="000000" w:themeColor="text1"/>
                <w:sz w:val="20"/>
                <w:szCs w:val="20"/>
              </w:rPr>
            </w:pPr>
            <w:r>
              <w:rPr>
                <w:color w:val="000000" w:themeColor="text1"/>
                <w:sz w:val="20"/>
                <w:szCs w:val="20"/>
              </w:rPr>
              <w:lastRenderedPageBreak/>
              <w:t>NBN Co Ltd</w:t>
            </w:r>
          </w:p>
        </w:tc>
        <w:tc>
          <w:tcPr>
            <w:tcW w:w="2223" w:type="dxa"/>
          </w:tcPr>
          <w:p w14:paraId="197948E4" w14:textId="2A4992EA" w:rsidR="00FF43B9" w:rsidRPr="00160B52" w:rsidRDefault="00FF43B9" w:rsidP="00FF43B9">
            <w:pPr>
              <w:rPr>
                <w:color w:val="000000" w:themeColor="text1"/>
                <w:sz w:val="20"/>
                <w:szCs w:val="20"/>
              </w:rPr>
            </w:pPr>
            <w:r>
              <w:rPr>
                <w:color w:val="000000" w:themeColor="text1"/>
                <w:sz w:val="20"/>
                <w:szCs w:val="20"/>
              </w:rPr>
              <w:t>Whether NBN was required to publish a decision to the ‘Right to Know’ website after administrative access to requested documents was provided</w:t>
            </w:r>
          </w:p>
        </w:tc>
        <w:tc>
          <w:tcPr>
            <w:tcW w:w="1352" w:type="dxa"/>
          </w:tcPr>
          <w:p w14:paraId="5CEE1A15" w14:textId="0D5DFC9D" w:rsidR="00FF43B9" w:rsidRPr="00160B52" w:rsidRDefault="00FF43B9" w:rsidP="00FF43B9">
            <w:pPr>
              <w:rPr>
                <w:color w:val="000000" w:themeColor="text1"/>
                <w:sz w:val="20"/>
                <w:szCs w:val="20"/>
              </w:rPr>
            </w:pPr>
            <w:r>
              <w:rPr>
                <w:color w:val="000000" w:themeColor="text1"/>
                <w:sz w:val="20"/>
                <w:szCs w:val="20"/>
              </w:rPr>
              <w:t>Non-personal</w:t>
            </w:r>
          </w:p>
        </w:tc>
        <w:tc>
          <w:tcPr>
            <w:tcW w:w="1483" w:type="dxa"/>
          </w:tcPr>
          <w:p w14:paraId="356B8DDE" w14:textId="19BC1388" w:rsidR="00FF43B9" w:rsidRPr="00160B52" w:rsidRDefault="00FF43B9" w:rsidP="00FF43B9">
            <w:pPr>
              <w:rPr>
                <w:color w:val="000000" w:themeColor="text1"/>
                <w:sz w:val="20"/>
                <w:szCs w:val="20"/>
              </w:rPr>
            </w:pPr>
            <w:r>
              <w:rPr>
                <w:color w:val="000000" w:themeColor="text1"/>
                <w:sz w:val="20"/>
                <w:szCs w:val="20"/>
              </w:rPr>
              <w:t>22 January 2024</w:t>
            </w:r>
          </w:p>
        </w:tc>
        <w:tc>
          <w:tcPr>
            <w:tcW w:w="4395" w:type="dxa"/>
          </w:tcPr>
          <w:p w14:paraId="7A2E493F" w14:textId="4370DEF4" w:rsidR="00FF43B9" w:rsidRPr="00160B52" w:rsidRDefault="00FF43B9" w:rsidP="00FF43B9">
            <w:pPr>
              <w:rPr>
                <w:color w:val="000000" w:themeColor="text1"/>
                <w:sz w:val="20"/>
                <w:szCs w:val="20"/>
              </w:rPr>
            </w:pPr>
            <w:r>
              <w:rPr>
                <w:color w:val="000000" w:themeColor="text1"/>
                <w:sz w:val="20"/>
                <w:szCs w:val="20"/>
              </w:rPr>
              <w:t>The complaint was substantiated</w:t>
            </w:r>
          </w:p>
        </w:tc>
        <w:tc>
          <w:tcPr>
            <w:tcW w:w="5811" w:type="dxa"/>
          </w:tcPr>
          <w:p w14:paraId="73084786" w14:textId="77777777"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Three recommendations were made:</w:t>
            </w:r>
          </w:p>
          <w:p w14:paraId="4239F662" w14:textId="4594C24A" w:rsidR="00FF43B9" w:rsidRPr="00160B52" w:rsidRDefault="00FF43B9" w:rsidP="00FF43B9">
            <w:pPr>
              <w:pStyle w:val="ListNumber2"/>
              <w:numPr>
                <w:ilvl w:val="1"/>
                <w:numId w:val="72"/>
              </w:numPr>
              <w:spacing w:before="0" w:after="120" w:line="240" w:lineRule="auto"/>
              <w:rPr>
                <w:color w:val="000000" w:themeColor="text1"/>
                <w:sz w:val="20"/>
                <w:szCs w:val="20"/>
              </w:rPr>
            </w:pPr>
            <w:r>
              <w:rPr>
                <w:color w:val="000000" w:themeColor="text1"/>
                <w:sz w:val="20"/>
                <w:szCs w:val="20"/>
              </w:rPr>
              <w:t>NBN is to develop FOI procedures and/or guidelines which provides clear guidance to FOI officers about processing requests in accordance with the FOI Act and FOI Guidelines, including processing and releasing documents through administrative access.</w:t>
            </w:r>
          </w:p>
          <w:p w14:paraId="676E6C3C" w14:textId="77777777" w:rsidR="00FF43B9" w:rsidRPr="003129CF" w:rsidRDefault="00FF43B9" w:rsidP="00FF43B9">
            <w:pPr>
              <w:pStyle w:val="ListNumber2"/>
              <w:numPr>
                <w:ilvl w:val="1"/>
                <w:numId w:val="72"/>
              </w:numPr>
              <w:spacing w:before="0" w:after="120" w:line="240" w:lineRule="auto"/>
              <w:rPr>
                <w:color w:val="000000" w:themeColor="text1"/>
                <w:sz w:val="20"/>
                <w:szCs w:val="20"/>
              </w:rPr>
            </w:pPr>
            <w:r>
              <w:rPr>
                <w:color w:val="000000" w:themeColor="text1"/>
                <w:sz w:val="20"/>
                <w:szCs w:val="20"/>
              </w:rPr>
              <w:t>As soon as practicable, provide copies/links to the OAIC of the information described at paragraph (a)</w:t>
            </w:r>
            <w:r w:rsidRPr="00160B52">
              <w:rPr>
                <w:rFonts w:ascii="Source Sans Pro" w:hAnsi="Source Sans Pro" w:cs="Source Sans Pro"/>
                <w:color w:val="000000" w:themeColor="text1"/>
                <w:sz w:val="20"/>
                <w:szCs w:val="20"/>
              </w:rPr>
              <w:t xml:space="preserve">. </w:t>
            </w:r>
          </w:p>
          <w:p w14:paraId="20CA6D9A" w14:textId="77777777" w:rsidR="00FF43B9" w:rsidRPr="00B03248" w:rsidRDefault="00FF43B9" w:rsidP="00FF43B9">
            <w:pPr>
              <w:pStyle w:val="ListNumber2"/>
              <w:numPr>
                <w:ilvl w:val="1"/>
                <w:numId w:val="72"/>
              </w:numPr>
              <w:spacing w:before="0" w:after="120" w:line="240" w:lineRule="auto"/>
              <w:rPr>
                <w:color w:val="000000" w:themeColor="text1"/>
                <w:sz w:val="20"/>
                <w:szCs w:val="20"/>
              </w:rPr>
            </w:pPr>
            <w:r>
              <w:rPr>
                <w:rFonts w:ascii="Source Sans Pro" w:hAnsi="Source Sans Pro" w:cs="Source Sans Pro"/>
                <w:color w:val="000000" w:themeColor="text1"/>
                <w:sz w:val="20"/>
                <w:szCs w:val="20"/>
              </w:rPr>
              <w:t>NBN is to provide training for its FOI staff to ensure they are aware of, and properly utilise, the FOI procedures and/or guidelines prepared.</w:t>
            </w:r>
          </w:p>
          <w:p w14:paraId="1EF18981" w14:textId="35C3403C" w:rsidR="00FF43B9" w:rsidRDefault="00FF43B9" w:rsidP="00FF43B9">
            <w:pPr>
              <w:pStyle w:val="ListNumber2"/>
              <w:numPr>
                <w:ilvl w:val="0"/>
                <w:numId w:val="0"/>
              </w:numPr>
              <w:spacing w:before="0" w:after="120" w:line="240" w:lineRule="auto"/>
              <w:rPr>
                <w:rFonts w:ascii="Source Sans Pro" w:hAnsi="Source Sans Pro" w:cs="Source Sans Pro"/>
                <w:color w:val="000000" w:themeColor="text1"/>
                <w:sz w:val="20"/>
                <w:szCs w:val="20"/>
              </w:rPr>
            </w:pPr>
            <w:r>
              <w:rPr>
                <w:rFonts w:ascii="Source Sans Pro" w:hAnsi="Source Sans Pro" w:cs="Source Sans Pro"/>
                <w:color w:val="000000" w:themeColor="text1"/>
                <w:sz w:val="20"/>
                <w:szCs w:val="20"/>
              </w:rPr>
              <w:t>Two suggestions were made:</w:t>
            </w:r>
          </w:p>
          <w:p w14:paraId="29087C6D" w14:textId="77777777" w:rsidR="00FF43B9" w:rsidRDefault="00FF43B9" w:rsidP="00FF43B9">
            <w:pPr>
              <w:pStyle w:val="ListNumber2"/>
              <w:numPr>
                <w:ilvl w:val="0"/>
                <w:numId w:val="45"/>
              </w:numPr>
              <w:spacing w:before="0" w:after="120" w:line="240" w:lineRule="auto"/>
              <w:rPr>
                <w:color w:val="000000" w:themeColor="text1"/>
                <w:sz w:val="20"/>
                <w:szCs w:val="20"/>
              </w:rPr>
            </w:pPr>
            <w:r>
              <w:rPr>
                <w:color w:val="000000" w:themeColor="text1"/>
                <w:sz w:val="20"/>
                <w:szCs w:val="20"/>
              </w:rPr>
              <w:t>NBN is to update its FOI webpage to include information about administrative access requests in accordance with the FOI Act and F OI Guidelines.</w:t>
            </w:r>
          </w:p>
          <w:p w14:paraId="5CBD00A7" w14:textId="5009C457" w:rsidR="00FF43B9" w:rsidRPr="003129CF" w:rsidRDefault="00FF43B9" w:rsidP="00FF43B9">
            <w:pPr>
              <w:pStyle w:val="ListNumber2"/>
              <w:numPr>
                <w:ilvl w:val="0"/>
                <w:numId w:val="45"/>
              </w:numPr>
              <w:spacing w:before="0" w:after="120" w:line="240" w:lineRule="auto"/>
              <w:rPr>
                <w:color w:val="000000" w:themeColor="text1"/>
                <w:sz w:val="20"/>
                <w:szCs w:val="20"/>
              </w:rPr>
            </w:pPr>
            <w:r>
              <w:rPr>
                <w:color w:val="000000" w:themeColor="text1"/>
                <w:sz w:val="20"/>
                <w:szCs w:val="20"/>
              </w:rPr>
              <w:t>As soon as practicable, provide a link to the OAIC of the updated webpage.</w:t>
            </w:r>
          </w:p>
        </w:tc>
        <w:tc>
          <w:tcPr>
            <w:tcW w:w="2127" w:type="dxa"/>
          </w:tcPr>
          <w:p w14:paraId="59CEEFCB" w14:textId="146A1218" w:rsidR="00FF43B9" w:rsidRDefault="00937E0B" w:rsidP="00FF43B9">
            <w:pPr>
              <w:rPr>
                <w:sz w:val="20"/>
                <w:szCs w:val="20"/>
              </w:rPr>
            </w:pPr>
            <w:r>
              <w:rPr>
                <w:rFonts w:eastAsia="Source Sans Pro"/>
                <w:sz w:val="20"/>
                <w:szCs w:val="20"/>
              </w:rPr>
              <w:t>Recommendations implemented</w:t>
            </w:r>
            <w:r w:rsidR="00D6722A">
              <w:rPr>
                <w:rFonts w:eastAsia="Source Sans Pro"/>
                <w:sz w:val="20"/>
                <w:szCs w:val="20"/>
              </w:rPr>
              <w:t>; Suggestions not implemented.</w:t>
            </w:r>
            <w:r w:rsidR="00FF43B9">
              <w:rPr>
                <w:rFonts w:eastAsia="Source Sans Pro"/>
                <w:sz w:val="20"/>
                <w:szCs w:val="20"/>
              </w:rPr>
              <w:t xml:space="preserve"> </w:t>
            </w:r>
          </w:p>
        </w:tc>
        <w:tc>
          <w:tcPr>
            <w:tcW w:w="1984" w:type="dxa"/>
          </w:tcPr>
          <w:p w14:paraId="72D21283" w14:textId="28C0DD54" w:rsidR="00FF43B9" w:rsidRDefault="00937E0B" w:rsidP="00FF43B9">
            <w:pPr>
              <w:rPr>
                <w:sz w:val="20"/>
                <w:szCs w:val="20"/>
              </w:rPr>
            </w:pPr>
            <w:r>
              <w:rPr>
                <w:sz w:val="20"/>
                <w:szCs w:val="20"/>
              </w:rPr>
              <w:t>No further action</w:t>
            </w:r>
          </w:p>
        </w:tc>
      </w:tr>
      <w:tr w:rsidR="00FF43B9" w:rsidRPr="00D94668" w14:paraId="524B9F96" w14:textId="77777777" w:rsidTr="0086062E">
        <w:trPr>
          <w:trHeight w:val="917"/>
        </w:trPr>
        <w:tc>
          <w:tcPr>
            <w:tcW w:w="1888" w:type="dxa"/>
          </w:tcPr>
          <w:p w14:paraId="690AB41C" w14:textId="4AA54685" w:rsidR="00FF43B9" w:rsidRPr="00160B52" w:rsidRDefault="00FF43B9" w:rsidP="00FF43B9">
            <w:pPr>
              <w:rPr>
                <w:color w:val="000000" w:themeColor="text1"/>
                <w:sz w:val="20"/>
                <w:szCs w:val="20"/>
              </w:rPr>
            </w:pPr>
            <w:r w:rsidRPr="00160B52">
              <w:rPr>
                <w:color w:val="000000" w:themeColor="text1"/>
                <w:sz w:val="20"/>
                <w:szCs w:val="20"/>
              </w:rPr>
              <w:t>Australian Taxation Office</w:t>
            </w:r>
          </w:p>
        </w:tc>
        <w:tc>
          <w:tcPr>
            <w:tcW w:w="2223" w:type="dxa"/>
          </w:tcPr>
          <w:p w14:paraId="0F9E24B4" w14:textId="77777777" w:rsidR="00FF43B9" w:rsidRPr="00160B52" w:rsidRDefault="00FF43B9" w:rsidP="00FF43B9">
            <w:pPr>
              <w:rPr>
                <w:color w:val="000000" w:themeColor="text1"/>
                <w:sz w:val="20"/>
                <w:szCs w:val="20"/>
              </w:rPr>
            </w:pPr>
            <w:r w:rsidRPr="00160B52">
              <w:rPr>
                <w:color w:val="000000" w:themeColor="text1"/>
                <w:sz w:val="20"/>
                <w:szCs w:val="20"/>
              </w:rPr>
              <w:t>Whether the ATO processed the request in a manner which was improper</w:t>
            </w:r>
          </w:p>
          <w:p w14:paraId="5AAC8C55" w14:textId="6D10771C" w:rsidR="00FF43B9" w:rsidRPr="00160B52" w:rsidRDefault="00FF43B9" w:rsidP="00FF43B9">
            <w:pPr>
              <w:rPr>
                <w:color w:val="000000" w:themeColor="text1"/>
                <w:sz w:val="20"/>
                <w:szCs w:val="20"/>
              </w:rPr>
            </w:pPr>
            <w:r w:rsidRPr="00160B52">
              <w:rPr>
                <w:color w:val="000000" w:themeColor="text1"/>
                <w:sz w:val="20"/>
                <w:szCs w:val="20"/>
              </w:rPr>
              <w:t>Whether the ATO did so as a way of delaying access to documents required for separate legal proceedings</w:t>
            </w:r>
          </w:p>
        </w:tc>
        <w:tc>
          <w:tcPr>
            <w:tcW w:w="1352" w:type="dxa"/>
          </w:tcPr>
          <w:p w14:paraId="289083E1" w14:textId="6401011F" w:rsidR="00FF43B9" w:rsidRPr="00160B52" w:rsidRDefault="00FF43B9" w:rsidP="00FF43B9">
            <w:pPr>
              <w:rPr>
                <w:color w:val="000000" w:themeColor="text1"/>
                <w:sz w:val="20"/>
                <w:szCs w:val="20"/>
              </w:rPr>
            </w:pPr>
            <w:r w:rsidRPr="00160B52">
              <w:rPr>
                <w:color w:val="000000" w:themeColor="text1"/>
                <w:sz w:val="20"/>
                <w:szCs w:val="20"/>
              </w:rPr>
              <w:t>Personal</w:t>
            </w:r>
          </w:p>
        </w:tc>
        <w:tc>
          <w:tcPr>
            <w:tcW w:w="1483" w:type="dxa"/>
          </w:tcPr>
          <w:p w14:paraId="4B2010E6" w14:textId="2E72865E" w:rsidR="00FF43B9" w:rsidRPr="00160B52" w:rsidRDefault="00FF43B9" w:rsidP="00FF43B9">
            <w:pPr>
              <w:rPr>
                <w:color w:val="000000" w:themeColor="text1"/>
                <w:sz w:val="20"/>
                <w:szCs w:val="20"/>
              </w:rPr>
            </w:pPr>
            <w:r w:rsidRPr="00160B52">
              <w:rPr>
                <w:color w:val="000000" w:themeColor="text1"/>
                <w:sz w:val="20"/>
                <w:szCs w:val="20"/>
              </w:rPr>
              <w:t>18 December 2023</w:t>
            </w:r>
          </w:p>
        </w:tc>
        <w:tc>
          <w:tcPr>
            <w:tcW w:w="4395" w:type="dxa"/>
          </w:tcPr>
          <w:p w14:paraId="2835304E" w14:textId="688FCB6F" w:rsidR="00FF43B9" w:rsidRPr="00160B52" w:rsidRDefault="00FF43B9" w:rsidP="00FF43B9">
            <w:pPr>
              <w:rPr>
                <w:color w:val="000000" w:themeColor="text1"/>
              </w:rPr>
            </w:pPr>
            <w:r w:rsidRPr="00160B52">
              <w:rPr>
                <w:color w:val="000000" w:themeColor="text1"/>
                <w:sz w:val="20"/>
                <w:szCs w:val="20"/>
              </w:rPr>
              <w:t>Neither aspect of the complaint was substantiated</w:t>
            </w:r>
            <w:r>
              <w:rPr>
                <w:color w:val="000000" w:themeColor="text1"/>
                <w:sz w:val="20"/>
                <w:szCs w:val="20"/>
              </w:rPr>
              <w:t>.</w:t>
            </w:r>
          </w:p>
        </w:tc>
        <w:tc>
          <w:tcPr>
            <w:tcW w:w="5811" w:type="dxa"/>
          </w:tcPr>
          <w:p w14:paraId="1B8AF7A1" w14:textId="1862B080" w:rsidR="00FF43B9" w:rsidRPr="00160B52" w:rsidRDefault="00FF43B9" w:rsidP="00FF43B9">
            <w:pPr>
              <w:autoSpaceDE w:val="0"/>
              <w:autoSpaceDN w:val="0"/>
              <w:adjustRightInd w:val="0"/>
              <w:spacing w:after="0" w:line="240" w:lineRule="auto"/>
              <w:rPr>
                <w:color w:val="000000" w:themeColor="text1"/>
                <w:sz w:val="20"/>
                <w:szCs w:val="20"/>
              </w:rPr>
            </w:pPr>
            <w:r w:rsidRPr="00160B52">
              <w:rPr>
                <w:color w:val="000000" w:themeColor="text1"/>
                <w:sz w:val="20"/>
                <w:szCs w:val="20"/>
              </w:rPr>
              <w:t>No recommendations made.</w:t>
            </w:r>
          </w:p>
        </w:tc>
        <w:tc>
          <w:tcPr>
            <w:tcW w:w="2127" w:type="dxa"/>
          </w:tcPr>
          <w:p w14:paraId="3D4AA66B" w14:textId="1E6BB610" w:rsidR="00FF43B9" w:rsidRDefault="00FF43B9" w:rsidP="00FF43B9">
            <w:pPr>
              <w:rPr>
                <w:sz w:val="20"/>
                <w:szCs w:val="20"/>
              </w:rPr>
            </w:pPr>
            <w:r>
              <w:rPr>
                <w:sz w:val="20"/>
                <w:szCs w:val="20"/>
              </w:rPr>
              <w:t>Not applicable.</w:t>
            </w:r>
          </w:p>
        </w:tc>
        <w:tc>
          <w:tcPr>
            <w:tcW w:w="1984" w:type="dxa"/>
          </w:tcPr>
          <w:p w14:paraId="73DF22EC" w14:textId="44C6E1EF" w:rsidR="00FF43B9" w:rsidRDefault="00FF43B9" w:rsidP="00FF43B9">
            <w:pPr>
              <w:rPr>
                <w:sz w:val="20"/>
                <w:szCs w:val="20"/>
              </w:rPr>
            </w:pPr>
            <w:r>
              <w:rPr>
                <w:sz w:val="20"/>
                <w:szCs w:val="20"/>
              </w:rPr>
              <w:t>Not applicable.</w:t>
            </w:r>
          </w:p>
        </w:tc>
      </w:tr>
      <w:tr w:rsidR="00FF43B9" w:rsidRPr="00D94668" w14:paraId="0ED23770" w14:textId="77777777" w:rsidTr="0086062E">
        <w:trPr>
          <w:trHeight w:val="917"/>
        </w:trPr>
        <w:tc>
          <w:tcPr>
            <w:tcW w:w="1888" w:type="dxa"/>
          </w:tcPr>
          <w:p w14:paraId="1EB1A3B7" w14:textId="7BBEBE01" w:rsidR="00FF43B9" w:rsidRPr="00160B52" w:rsidRDefault="00FF43B9" w:rsidP="00FF43B9">
            <w:pPr>
              <w:rPr>
                <w:color w:val="000000" w:themeColor="text1"/>
                <w:sz w:val="20"/>
                <w:szCs w:val="20"/>
              </w:rPr>
            </w:pPr>
            <w:r w:rsidRPr="00160B52">
              <w:rPr>
                <w:color w:val="000000" w:themeColor="text1"/>
                <w:sz w:val="20"/>
                <w:szCs w:val="20"/>
              </w:rPr>
              <w:t>Department of Industry, Science and Resources</w:t>
            </w:r>
          </w:p>
        </w:tc>
        <w:tc>
          <w:tcPr>
            <w:tcW w:w="2223" w:type="dxa"/>
          </w:tcPr>
          <w:p w14:paraId="1FE26A84" w14:textId="2D3B5ED5" w:rsidR="00FF43B9" w:rsidRPr="00160B52" w:rsidRDefault="00FF43B9" w:rsidP="00FF43B9">
            <w:pPr>
              <w:rPr>
                <w:color w:val="000000" w:themeColor="text1"/>
                <w:sz w:val="20"/>
                <w:szCs w:val="20"/>
              </w:rPr>
            </w:pPr>
            <w:r w:rsidRPr="00160B52">
              <w:rPr>
                <w:color w:val="000000" w:themeColor="text1"/>
                <w:sz w:val="20"/>
                <w:szCs w:val="20"/>
              </w:rPr>
              <w:t>Whether the Department should have transferred the request under s 16 rather than refusing the request under s 24A</w:t>
            </w:r>
            <w:r>
              <w:rPr>
                <w:color w:val="000000" w:themeColor="text1"/>
                <w:sz w:val="20"/>
                <w:szCs w:val="20"/>
              </w:rPr>
              <w:t xml:space="preserve">, on the basis that </w:t>
            </w:r>
            <w:r w:rsidRPr="00E220EB">
              <w:rPr>
                <w:color w:val="000000" w:themeColor="text1"/>
                <w:sz w:val="20"/>
                <w:szCs w:val="20"/>
              </w:rPr>
              <w:t>no documents exist</w:t>
            </w:r>
          </w:p>
        </w:tc>
        <w:tc>
          <w:tcPr>
            <w:tcW w:w="1352" w:type="dxa"/>
          </w:tcPr>
          <w:p w14:paraId="4C1D04EC" w14:textId="1BF6121F" w:rsidR="00FF43B9" w:rsidRPr="00160B52" w:rsidRDefault="00FF43B9" w:rsidP="00FF43B9">
            <w:pPr>
              <w:rPr>
                <w:color w:val="000000" w:themeColor="text1"/>
                <w:sz w:val="20"/>
                <w:szCs w:val="20"/>
              </w:rPr>
            </w:pPr>
            <w:r w:rsidRPr="00160B52">
              <w:rPr>
                <w:color w:val="000000" w:themeColor="text1"/>
                <w:sz w:val="20"/>
                <w:szCs w:val="20"/>
              </w:rPr>
              <w:t>Non-personal</w:t>
            </w:r>
          </w:p>
        </w:tc>
        <w:tc>
          <w:tcPr>
            <w:tcW w:w="1483" w:type="dxa"/>
          </w:tcPr>
          <w:p w14:paraId="1052A9B4" w14:textId="4A21FD09" w:rsidR="00FF43B9" w:rsidRPr="00160B52" w:rsidRDefault="00FF43B9" w:rsidP="00FF43B9">
            <w:pPr>
              <w:rPr>
                <w:color w:val="000000" w:themeColor="text1"/>
                <w:sz w:val="20"/>
                <w:szCs w:val="20"/>
              </w:rPr>
            </w:pPr>
            <w:r w:rsidRPr="00160B52">
              <w:rPr>
                <w:color w:val="000000" w:themeColor="text1"/>
                <w:sz w:val="20"/>
                <w:szCs w:val="20"/>
              </w:rPr>
              <w:t>8 December 2023</w:t>
            </w:r>
          </w:p>
        </w:tc>
        <w:tc>
          <w:tcPr>
            <w:tcW w:w="4395" w:type="dxa"/>
          </w:tcPr>
          <w:p w14:paraId="11B28C7E" w14:textId="0A9FE692" w:rsidR="00FF43B9" w:rsidRPr="00E220EB" w:rsidRDefault="00FF43B9" w:rsidP="00FF43B9">
            <w:pPr>
              <w:rPr>
                <w:color w:val="000000" w:themeColor="text1"/>
                <w:sz w:val="20"/>
                <w:szCs w:val="20"/>
              </w:rPr>
            </w:pPr>
            <w:r w:rsidRPr="00160B52">
              <w:rPr>
                <w:color w:val="000000" w:themeColor="text1"/>
                <w:sz w:val="20"/>
                <w:szCs w:val="20"/>
              </w:rPr>
              <w:t xml:space="preserve">The Department attempted to facilitate transfer of the complainant’s request under s 16 of the FOI Act and the </w:t>
            </w:r>
            <w:r>
              <w:rPr>
                <w:color w:val="000000" w:themeColor="text1"/>
                <w:sz w:val="20"/>
                <w:szCs w:val="20"/>
              </w:rPr>
              <w:t xml:space="preserve">appropriate </w:t>
            </w:r>
            <w:r w:rsidRPr="00160B52">
              <w:rPr>
                <w:color w:val="000000" w:themeColor="text1"/>
                <w:sz w:val="20"/>
                <w:szCs w:val="20"/>
              </w:rPr>
              <w:t>agency refused to accept the transfer</w:t>
            </w:r>
            <w:r>
              <w:rPr>
                <w:color w:val="000000" w:themeColor="text1"/>
                <w:sz w:val="20"/>
                <w:szCs w:val="20"/>
              </w:rPr>
              <w:t>.</w:t>
            </w:r>
            <w:r w:rsidRPr="00160B52">
              <w:rPr>
                <w:color w:val="000000" w:themeColor="text1"/>
                <w:sz w:val="20"/>
                <w:szCs w:val="20"/>
              </w:rPr>
              <w:t xml:space="preserve"> </w:t>
            </w:r>
            <w:r>
              <w:rPr>
                <w:color w:val="000000" w:themeColor="text1"/>
                <w:sz w:val="20"/>
                <w:szCs w:val="20"/>
              </w:rPr>
              <w:t>T</w:t>
            </w:r>
            <w:r w:rsidRPr="00E220EB">
              <w:rPr>
                <w:color w:val="000000" w:themeColor="text1"/>
                <w:sz w:val="20"/>
                <w:szCs w:val="20"/>
              </w:rPr>
              <w:t xml:space="preserve">he Department therefore had no option but to process the request, making its original decision that no documents exist under s 24A of the FOI Act. </w:t>
            </w:r>
          </w:p>
          <w:p w14:paraId="5CE13443" w14:textId="42E6FD9E" w:rsidR="00FF43B9" w:rsidRPr="00100B49" w:rsidRDefault="00FF43B9" w:rsidP="00FF43B9">
            <w:pPr>
              <w:rPr>
                <w:color w:val="000000" w:themeColor="text1"/>
                <w:sz w:val="20"/>
                <w:szCs w:val="20"/>
              </w:rPr>
            </w:pPr>
            <w:r w:rsidRPr="00160B52">
              <w:rPr>
                <w:color w:val="000000" w:themeColor="text1"/>
                <w:sz w:val="20"/>
                <w:szCs w:val="20"/>
              </w:rPr>
              <w:t xml:space="preserve">However, the Department did not give consideration to the possible transfer of the request under s 16 of the FOI Act early enough in the processing of the request. </w:t>
            </w:r>
            <w:r>
              <w:rPr>
                <w:color w:val="000000" w:themeColor="text1"/>
                <w:sz w:val="20"/>
                <w:szCs w:val="20"/>
              </w:rPr>
              <w:t xml:space="preserve">The amount of time remaining to process the request was a relevant consideration of the appropriate agency to its </w:t>
            </w:r>
            <w:r w:rsidRPr="00100B49">
              <w:rPr>
                <w:color w:val="000000" w:themeColor="text1"/>
                <w:sz w:val="20"/>
                <w:szCs w:val="20"/>
              </w:rPr>
              <w:t>decision not to accept transfer of the request</w:t>
            </w:r>
            <w:r>
              <w:rPr>
                <w:color w:val="000000" w:themeColor="text1"/>
                <w:sz w:val="20"/>
                <w:szCs w:val="20"/>
              </w:rPr>
              <w:t>.</w:t>
            </w:r>
            <w:r w:rsidRPr="00100B49">
              <w:rPr>
                <w:color w:val="000000" w:themeColor="text1"/>
                <w:sz w:val="20"/>
                <w:szCs w:val="20"/>
              </w:rPr>
              <w:t xml:space="preserve"> </w:t>
            </w:r>
          </w:p>
          <w:p w14:paraId="05634877" w14:textId="39DE8C80" w:rsidR="00FF43B9" w:rsidRPr="00160B52" w:rsidRDefault="00FF43B9" w:rsidP="00FF43B9">
            <w:pPr>
              <w:rPr>
                <w:color w:val="000000" w:themeColor="text1"/>
                <w:sz w:val="20"/>
                <w:szCs w:val="20"/>
              </w:rPr>
            </w:pPr>
            <w:r w:rsidRPr="00160B52">
              <w:rPr>
                <w:color w:val="000000" w:themeColor="text1"/>
                <w:sz w:val="20"/>
                <w:szCs w:val="20"/>
              </w:rPr>
              <w:t xml:space="preserve">The Department also did not seek the applicant’s agreement to an extension of the statutory processing timeframe under s 15AA of the FOI Act, </w:t>
            </w:r>
            <w:r>
              <w:rPr>
                <w:color w:val="000000" w:themeColor="text1"/>
                <w:sz w:val="20"/>
                <w:szCs w:val="20"/>
              </w:rPr>
              <w:lastRenderedPageBreak/>
              <w:t xml:space="preserve">which may have facilitated the appropriate agency’s agreement to accept transfer of the request, </w:t>
            </w:r>
            <w:r w:rsidRPr="00160B52">
              <w:rPr>
                <w:color w:val="000000" w:themeColor="text1"/>
                <w:sz w:val="20"/>
                <w:szCs w:val="20"/>
              </w:rPr>
              <w:t xml:space="preserve">and </w:t>
            </w:r>
          </w:p>
          <w:p w14:paraId="4E451B4F" w14:textId="7A81B8EE" w:rsidR="00FF43B9" w:rsidRPr="00D6126E" w:rsidRDefault="00FF43B9" w:rsidP="00FF43B9">
            <w:pPr>
              <w:rPr>
                <w:color w:val="000000" w:themeColor="text1"/>
                <w:sz w:val="20"/>
                <w:szCs w:val="20"/>
              </w:rPr>
            </w:pPr>
            <w:r w:rsidRPr="00160B52">
              <w:rPr>
                <w:color w:val="000000" w:themeColor="text1"/>
                <w:sz w:val="20"/>
                <w:szCs w:val="20"/>
              </w:rPr>
              <w:t>The Department did not take reasonable steps to assist the complainant to direct their request to the appropriate agency during the processing of the request.</w:t>
            </w:r>
          </w:p>
        </w:tc>
        <w:tc>
          <w:tcPr>
            <w:tcW w:w="5811" w:type="dxa"/>
          </w:tcPr>
          <w:p w14:paraId="2ED55BE1" w14:textId="77777777" w:rsidR="00FF43B9" w:rsidRDefault="00FF43B9" w:rsidP="00FF43B9">
            <w:pPr>
              <w:autoSpaceDE w:val="0"/>
              <w:autoSpaceDN w:val="0"/>
              <w:adjustRightInd w:val="0"/>
              <w:spacing w:after="0" w:line="240" w:lineRule="auto"/>
              <w:rPr>
                <w:color w:val="000000" w:themeColor="text1"/>
                <w:sz w:val="20"/>
                <w:szCs w:val="20"/>
              </w:rPr>
            </w:pPr>
            <w:r w:rsidRPr="00160B52">
              <w:rPr>
                <w:color w:val="000000" w:themeColor="text1"/>
                <w:sz w:val="20"/>
                <w:szCs w:val="20"/>
              </w:rPr>
              <w:lastRenderedPageBreak/>
              <w:t xml:space="preserve">No recommendations </w:t>
            </w:r>
            <w:r>
              <w:rPr>
                <w:color w:val="000000" w:themeColor="text1"/>
                <w:sz w:val="20"/>
                <w:szCs w:val="20"/>
              </w:rPr>
              <w:t xml:space="preserve">were </w:t>
            </w:r>
            <w:r w:rsidRPr="00160B52">
              <w:rPr>
                <w:color w:val="000000" w:themeColor="text1"/>
                <w:sz w:val="20"/>
                <w:szCs w:val="20"/>
              </w:rPr>
              <w:t>made</w:t>
            </w:r>
            <w:r>
              <w:rPr>
                <w:color w:val="000000" w:themeColor="text1"/>
                <w:sz w:val="20"/>
                <w:szCs w:val="20"/>
              </w:rPr>
              <w:t xml:space="preserve">. </w:t>
            </w:r>
          </w:p>
          <w:p w14:paraId="5E0F5C52" w14:textId="77777777" w:rsidR="00FF43B9" w:rsidRDefault="00FF43B9" w:rsidP="00FF43B9">
            <w:pPr>
              <w:autoSpaceDE w:val="0"/>
              <w:autoSpaceDN w:val="0"/>
              <w:adjustRightInd w:val="0"/>
              <w:spacing w:after="0" w:line="240" w:lineRule="auto"/>
              <w:rPr>
                <w:color w:val="000000" w:themeColor="text1"/>
                <w:sz w:val="20"/>
                <w:szCs w:val="20"/>
              </w:rPr>
            </w:pPr>
          </w:p>
          <w:p w14:paraId="4C357306" w14:textId="37B60CA1" w:rsidR="00FF43B9" w:rsidRPr="00160B52"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t>T</w:t>
            </w:r>
            <w:r w:rsidRPr="00160B52">
              <w:rPr>
                <w:color w:val="000000" w:themeColor="text1"/>
                <w:sz w:val="20"/>
                <w:szCs w:val="20"/>
              </w:rPr>
              <w:t xml:space="preserve">he </w:t>
            </w:r>
            <w:r w:rsidRPr="004E4791">
              <w:rPr>
                <w:color w:val="000000" w:themeColor="text1"/>
                <w:sz w:val="20"/>
                <w:szCs w:val="20"/>
              </w:rPr>
              <w:t>Department acknowledge</w:t>
            </w:r>
            <w:r w:rsidRPr="00160B52">
              <w:rPr>
                <w:color w:val="000000" w:themeColor="text1"/>
                <w:sz w:val="20"/>
                <w:szCs w:val="20"/>
              </w:rPr>
              <w:t xml:space="preserve">d </w:t>
            </w:r>
            <w:r w:rsidRPr="004E4791">
              <w:rPr>
                <w:color w:val="000000" w:themeColor="text1"/>
                <w:sz w:val="20"/>
                <w:szCs w:val="20"/>
              </w:rPr>
              <w:t xml:space="preserve">that it should have attempted transfer of the request to the receiving agency at an earlier stage of the processing of the request </w:t>
            </w:r>
            <w:r w:rsidRPr="00160B52">
              <w:rPr>
                <w:color w:val="000000" w:themeColor="text1"/>
                <w:sz w:val="20"/>
                <w:szCs w:val="20"/>
              </w:rPr>
              <w:t xml:space="preserve">and because the Department had also already implemented </w:t>
            </w:r>
            <w:r w:rsidRPr="004E4791">
              <w:rPr>
                <w:color w:val="000000" w:themeColor="text1"/>
                <w:sz w:val="20"/>
                <w:szCs w:val="20"/>
              </w:rPr>
              <w:t xml:space="preserve">remedial measures </w:t>
            </w:r>
            <w:r w:rsidRPr="00160B52">
              <w:rPr>
                <w:color w:val="000000" w:themeColor="text1"/>
                <w:sz w:val="20"/>
                <w:szCs w:val="20"/>
              </w:rPr>
              <w:t>in relation to its processing of FOI requests where transfer under s 16 is contemplated.</w:t>
            </w:r>
          </w:p>
        </w:tc>
        <w:tc>
          <w:tcPr>
            <w:tcW w:w="2127" w:type="dxa"/>
          </w:tcPr>
          <w:p w14:paraId="398A9867" w14:textId="1B0032EB" w:rsidR="00FF43B9" w:rsidRDefault="00FF43B9" w:rsidP="00FF43B9">
            <w:pPr>
              <w:rPr>
                <w:sz w:val="20"/>
                <w:szCs w:val="20"/>
              </w:rPr>
            </w:pPr>
            <w:r>
              <w:rPr>
                <w:sz w:val="20"/>
                <w:szCs w:val="20"/>
              </w:rPr>
              <w:t>Not applicable.</w:t>
            </w:r>
          </w:p>
        </w:tc>
        <w:tc>
          <w:tcPr>
            <w:tcW w:w="1984" w:type="dxa"/>
          </w:tcPr>
          <w:p w14:paraId="15057E7D" w14:textId="71AE31EB" w:rsidR="00FF43B9" w:rsidRDefault="00FF43B9" w:rsidP="00FF43B9">
            <w:pPr>
              <w:rPr>
                <w:sz w:val="20"/>
                <w:szCs w:val="20"/>
              </w:rPr>
            </w:pPr>
            <w:r>
              <w:rPr>
                <w:sz w:val="20"/>
                <w:szCs w:val="20"/>
              </w:rPr>
              <w:t>Not applicable.</w:t>
            </w:r>
          </w:p>
        </w:tc>
      </w:tr>
      <w:tr w:rsidR="00FF43B9" w:rsidRPr="00D94668" w14:paraId="5D183221" w14:textId="77777777" w:rsidTr="0086062E">
        <w:trPr>
          <w:trHeight w:val="917"/>
        </w:trPr>
        <w:tc>
          <w:tcPr>
            <w:tcW w:w="1888" w:type="dxa"/>
          </w:tcPr>
          <w:p w14:paraId="59F7C424" w14:textId="72CD0581" w:rsidR="00FF43B9" w:rsidRPr="00160B52" w:rsidRDefault="00FF43B9" w:rsidP="00FF43B9">
            <w:pPr>
              <w:rPr>
                <w:color w:val="000000" w:themeColor="text1"/>
                <w:sz w:val="20"/>
                <w:szCs w:val="20"/>
              </w:rPr>
            </w:pPr>
            <w:r w:rsidRPr="00160B52">
              <w:rPr>
                <w:color w:val="000000" w:themeColor="text1"/>
                <w:sz w:val="20"/>
                <w:szCs w:val="20"/>
              </w:rPr>
              <w:t>Digital Transformation Agency</w:t>
            </w:r>
          </w:p>
        </w:tc>
        <w:tc>
          <w:tcPr>
            <w:tcW w:w="2223" w:type="dxa"/>
          </w:tcPr>
          <w:p w14:paraId="63A13EAE" w14:textId="77DCB513" w:rsidR="00FF43B9" w:rsidRPr="00160B52" w:rsidRDefault="00FF43B9" w:rsidP="00FF43B9">
            <w:pPr>
              <w:rPr>
                <w:rFonts w:eastAsiaTheme="minorEastAsia" w:cs="Times New Roman"/>
                <w:color w:val="000000" w:themeColor="text1"/>
                <w:sz w:val="20"/>
                <w:szCs w:val="20"/>
                <w:lang w:eastAsia="ko-KR"/>
              </w:rPr>
            </w:pPr>
            <w:r w:rsidRPr="00160B52">
              <w:rPr>
                <w:color w:val="000000" w:themeColor="text1"/>
                <w:sz w:val="20"/>
                <w:szCs w:val="20"/>
              </w:rPr>
              <w:t xml:space="preserve">Whether, in issuing the charges notice, the Agency was acting in accordance with the ‘lowest reasonable cost’ principle </w:t>
            </w:r>
          </w:p>
          <w:p w14:paraId="3BEE7526" w14:textId="1047CACA" w:rsidR="00FF43B9" w:rsidRPr="00160B52" w:rsidRDefault="00FF43B9" w:rsidP="00FF43B9">
            <w:pPr>
              <w:rPr>
                <w:color w:val="000000" w:themeColor="text1"/>
                <w:sz w:val="20"/>
                <w:szCs w:val="20"/>
              </w:rPr>
            </w:pPr>
            <w:r w:rsidRPr="00160B52">
              <w:rPr>
                <w:color w:val="000000" w:themeColor="text1"/>
                <w:sz w:val="20"/>
                <w:szCs w:val="20"/>
              </w:rPr>
              <w:t xml:space="preserve">Whether the Agency’s process for considering if it was in the general public interest to waive the charge was consistent with the FOI Act and Guidelines </w:t>
            </w:r>
          </w:p>
          <w:p w14:paraId="461107C6" w14:textId="0EA5F8D5" w:rsidR="00FF43B9" w:rsidRPr="00160B52" w:rsidRDefault="00FF43B9" w:rsidP="00FF43B9">
            <w:pPr>
              <w:rPr>
                <w:color w:val="000000" w:themeColor="text1"/>
                <w:sz w:val="20"/>
                <w:szCs w:val="20"/>
              </w:rPr>
            </w:pPr>
            <w:r w:rsidRPr="00160B52">
              <w:rPr>
                <w:color w:val="000000" w:themeColor="text1"/>
                <w:sz w:val="20"/>
                <w:szCs w:val="20"/>
              </w:rPr>
              <w:t>Whether the Agency considered the payment of the charge (in part or in full) waived his review rights</w:t>
            </w:r>
          </w:p>
          <w:p w14:paraId="112C77B7" w14:textId="77777777" w:rsidR="00FF43B9" w:rsidRPr="00160B52" w:rsidRDefault="00FF43B9" w:rsidP="00FF43B9">
            <w:pPr>
              <w:rPr>
                <w:color w:val="000000" w:themeColor="text1"/>
                <w:sz w:val="20"/>
                <w:szCs w:val="20"/>
              </w:rPr>
            </w:pPr>
          </w:p>
        </w:tc>
        <w:tc>
          <w:tcPr>
            <w:tcW w:w="1352" w:type="dxa"/>
          </w:tcPr>
          <w:p w14:paraId="71F96AC3" w14:textId="3AFD05F0" w:rsidR="00FF43B9" w:rsidRPr="00160B52" w:rsidRDefault="00FF43B9" w:rsidP="00FF43B9">
            <w:pPr>
              <w:rPr>
                <w:color w:val="000000" w:themeColor="text1"/>
                <w:sz w:val="20"/>
                <w:szCs w:val="20"/>
              </w:rPr>
            </w:pPr>
            <w:r w:rsidRPr="00160B52">
              <w:rPr>
                <w:color w:val="000000" w:themeColor="text1"/>
                <w:sz w:val="20"/>
                <w:szCs w:val="20"/>
              </w:rPr>
              <w:t>Non-personal</w:t>
            </w:r>
          </w:p>
        </w:tc>
        <w:tc>
          <w:tcPr>
            <w:tcW w:w="1483" w:type="dxa"/>
          </w:tcPr>
          <w:p w14:paraId="0881BF64" w14:textId="07F7268B" w:rsidR="00FF43B9" w:rsidRPr="00160B52" w:rsidRDefault="00FF43B9" w:rsidP="00FF43B9">
            <w:pPr>
              <w:rPr>
                <w:color w:val="000000" w:themeColor="text1"/>
                <w:sz w:val="20"/>
                <w:szCs w:val="20"/>
              </w:rPr>
            </w:pPr>
            <w:r w:rsidRPr="00160B52">
              <w:rPr>
                <w:color w:val="000000" w:themeColor="text1"/>
                <w:sz w:val="20"/>
                <w:szCs w:val="20"/>
              </w:rPr>
              <w:t>6 December 2023</w:t>
            </w:r>
          </w:p>
        </w:tc>
        <w:tc>
          <w:tcPr>
            <w:tcW w:w="4395" w:type="dxa"/>
          </w:tcPr>
          <w:p w14:paraId="7126E853" w14:textId="61AFB585" w:rsidR="00FF43B9" w:rsidRPr="00160B52" w:rsidRDefault="00FF43B9" w:rsidP="00FF43B9">
            <w:pPr>
              <w:rPr>
                <w:color w:val="000000" w:themeColor="text1"/>
                <w:sz w:val="20"/>
                <w:szCs w:val="20"/>
              </w:rPr>
            </w:pPr>
            <w:r w:rsidRPr="00160B52">
              <w:rPr>
                <w:color w:val="000000" w:themeColor="text1"/>
                <w:sz w:val="20"/>
                <w:szCs w:val="20"/>
              </w:rPr>
              <w:t>The Agency, at the time of processing the complainant’s FOI request, did not properly comply with its obligations under s 29 of the FOI Act.</w:t>
            </w:r>
          </w:p>
          <w:p w14:paraId="7CABB5F4" w14:textId="4DA88E04" w:rsidR="00FF43B9" w:rsidRPr="00160B52" w:rsidRDefault="00FF43B9" w:rsidP="00FF43B9">
            <w:pPr>
              <w:rPr>
                <w:color w:val="000000" w:themeColor="text1"/>
                <w:sz w:val="20"/>
                <w:szCs w:val="20"/>
              </w:rPr>
            </w:pPr>
            <w:r w:rsidRPr="00160B52">
              <w:rPr>
                <w:color w:val="000000" w:themeColor="text1"/>
                <w:sz w:val="20"/>
                <w:szCs w:val="20"/>
              </w:rPr>
              <w:t xml:space="preserve">The Agency did not engage in practices appropriate to advancing the objects of the FOI Act, and particularly, to facilitate and promote public access to information, promptly and at the lowest reasonable cost (s 3(4) of the FOI Act). </w:t>
            </w:r>
          </w:p>
          <w:p w14:paraId="74981F3D" w14:textId="77777777" w:rsidR="00FF43B9" w:rsidRPr="00160B52" w:rsidRDefault="00FF43B9" w:rsidP="00FF43B9">
            <w:pPr>
              <w:rPr>
                <w:color w:val="000000" w:themeColor="text1"/>
                <w:sz w:val="20"/>
                <w:szCs w:val="20"/>
              </w:rPr>
            </w:pPr>
          </w:p>
        </w:tc>
        <w:tc>
          <w:tcPr>
            <w:tcW w:w="5811" w:type="dxa"/>
          </w:tcPr>
          <w:p w14:paraId="40784D27" w14:textId="77777777" w:rsidR="00FF43B9" w:rsidRPr="00160B52" w:rsidRDefault="00FF43B9" w:rsidP="00FF43B9">
            <w:pPr>
              <w:autoSpaceDE w:val="0"/>
              <w:autoSpaceDN w:val="0"/>
              <w:adjustRightInd w:val="0"/>
              <w:spacing w:after="0" w:line="240" w:lineRule="auto"/>
              <w:rPr>
                <w:color w:val="000000" w:themeColor="text1"/>
                <w:sz w:val="20"/>
                <w:szCs w:val="20"/>
              </w:rPr>
            </w:pPr>
            <w:r w:rsidRPr="00160B52">
              <w:rPr>
                <w:color w:val="000000" w:themeColor="text1"/>
                <w:sz w:val="20"/>
                <w:szCs w:val="20"/>
              </w:rPr>
              <w:t>Four recommendations were made:</w:t>
            </w:r>
          </w:p>
          <w:p w14:paraId="5BA3CD9A" w14:textId="584D1F85" w:rsidR="00FF43B9" w:rsidRPr="003129CF" w:rsidRDefault="00FF43B9" w:rsidP="00FF43B9">
            <w:pPr>
              <w:pStyle w:val="ListNumber2"/>
              <w:numPr>
                <w:ilvl w:val="1"/>
                <w:numId w:val="73"/>
              </w:numPr>
              <w:spacing w:before="0" w:after="120" w:line="240" w:lineRule="auto"/>
              <w:rPr>
                <w:color w:val="000000" w:themeColor="text1"/>
                <w:sz w:val="20"/>
                <w:szCs w:val="20"/>
              </w:rPr>
            </w:pPr>
            <w:r w:rsidRPr="003129CF">
              <w:rPr>
                <w:color w:val="000000" w:themeColor="text1"/>
                <w:sz w:val="20"/>
                <w:szCs w:val="20"/>
              </w:rPr>
              <w:t xml:space="preserve">The Agency prepare and promulgate formal guidance for staff to determine whether an FOI applicant is liable to pay a charge, in accordance with s 29 of the FOI Act, the </w:t>
            </w:r>
            <w:r w:rsidRPr="003129CF">
              <w:rPr>
                <w:i/>
                <w:iCs/>
                <w:color w:val="000000" w:themeColor="text1"/>
                <w:sz w:val="20"/>
                <w:szCs w:val="20"/>
              </w:rPr>
              <w:t>Freedom of Information (Charges) Regulations 2019</w:t>
            </w:r>
            <w:r w:rsidRPr="003129CF">
              <w:rPr>
                <w:color w:val="000000" w:themeColor="text1"/>
                <w:sz w:val="20"/>
                <w:szCs w:val="20"/>
              </w:rPr>
              <w:t xml:space="preserve"> (Charges Regulations), and the FOI Guidelines. The Agency is to provide a copy of the formal guidance to the OAIC. </w:t>
            </w:r>
          </w:p>
          <w:p w14:paraId="36136A62" w14:textId="31DD012C" w:rsidR="00FF43B9" w:rsidRPr="00160B52" w:rsidRDefault="00FF43B9" w:rsidP="00FF43B9">
            <w:pPr>
              <w:pStyle w:val="ListNumber2"/>
              <w:numPr>
                <w:ilvl w:val="1"/>
                <w:numId w:val="73"/>
              </w:numPr>
              <w:spacing w:before="0" w:after="120" w:line="240" w:lineRule="auto"/>
              <w:rPr>
                <w:color w:val="000000" w:themeColor="text1"/>
                <w:sz w:val="20"/>
                <w:szCs w:val="20"/>
              </w:rPr>
            </w:pPr>
            <w:r w:rsidRPr="00160B52">
              <w:rPr>
                <w:color w:val="000000" w:themeColor="text1"/>
                <w:sz w:val="20"/>
                <w:szCs w:val="20"/>
              </w:rPr>
              <w:t>The</w:t>
            </w:r>
            <w:r w:rsidRPr="00581646">
              <w:rPr>
                <w:color w:val="000000" w:themeColor="text1"/>
                <w:sz w:val="20"/>
                <w:szCs w:val="20"/>
              </w:rPr>
              <w:t xml:space="preserve"> Agency ensure that all relevant staff have received training in relation to the formal guidance referred to in recommendation a. The Agency is to provide confirmation to the OAIC that all relevant staff have received this training. </w:t>
            </w:r>
          </w:p>
          <w:p w14:paraId="21E4F87C" w14:textId="110C9203" w:rsidR="00FF43B9" w:rsidRPr="00160B52" w:rsidRDefault="00FF43B9" w:rsidP="00FF43B9">
            <w:pPr>
              <w:pStyle w:val="ListNumber2"/>
              <w:numPr>
                <w:ilvl w:val="1"/>
                <w:numId w:val="73"/>
              </w:numPr>
              <w:spacing w:before="0" w:after="120" w:line="240" w:lineRule="auto"/>
              <w:rPr>
                <w:color w:val="000000" w:themeColor="text1"/>
                <w:sz w:val="20"/>
                <w:szCs w:val="20"/>
              </w:rPr>
            </w:pPr>
            <w:bookmarkStart w:id="6" w:name="_Hlk149567670"/>
            <w:r w:rsidRPr="00160B52">
              <w:rPr>
                <w:color w:val="000000" w:themeColor="text1"/>
                <w:sz w:val="20"/>
                <w:szCs w:val="20"/>
              </w:rPr>
              <w:t>The</w:t>
            </w:r>
            <w:r w:rsidRPr="00581646">
              <w:rPr>
                <w:color w:val="000000" w:themeColor="text1"/>
                <w:sz w:val="20"/>
                <w:szCs w:val="20"/>
              </w:rPr>
              <w:t xml:space="preserve"> Agency’s FOI area assess all charges decisions made since 1 July 2019 up to 28 November 2023. The assessment should seek to identify whether the Agency had, throughout that period, made other charge decisions in a manner inconsistent with ss 3(4) and 29 of the FOI Act, and which may need to be revisited in light of the outcome of this complaint. </w:t>
            </w:r>
          </w:p>
          <w:p w14:paraId="0AF3650B" w14:textId="2DB67FA5" w:rsidR="00FF43B9" w:rsidRPr="00581646" w:rsidRDefault="00FF43B9" w:rsidP="00FF43B9">
            <w:pPr>
              <w:pStyle w:val="ListNumber2"/>
              <w:numPr>
                <w:ilvl w:val="1"/>
                <w:numId w:val="73"/>
              </w:numPr>
              <w:spacing w:before="0" w:after="120" w:line="240" w:lineRule="auto"/>
              <w:rPr>
                <w:color w:val="000000" w:themeColor="text1"/>
                <w:sz w:val="20"/>
                <w:szCs w:val="20"/>
              </w:rPr>
            </w:pPr>
            <w:bookmarkStart w:id="7" w:name="_Hlk149567892"/>
            <w:bookmarkEnd w:id="6"/>
            <w:r w:rsidRPr="00160B52">
              <w:rPr>
                <w:color w:val="000000" w:themeColor="text1"/>
                <w:sz w:val="20"/>
                <w:szCs w:val="20"/>
              </w:rPr>
              <w:t>The Agency report the results of the assessment referred to in recommendation c to the OAIC as soon as practicable after its completion,</w:t>
            </w:r>
            <w:r w:rsidRPr="00581646">
              <w:rPr>
                <w:color w:val="000000" w:themeColor="text1"/>
                <w:sz w:val="20"/>
                <w:szCs w:val="20"/>
              </w:rPr>
              <w:t xml:space="preserve"> highlighting the feedback and ongoing improvements in its practices and procedures since the implementation of the recommendations outlined above.</w:t>
            </w:r>
            <w:bookmarkEnd w:id="7"/>
          </w:p>
        </w:tc>
        <w:tc>
          <w:tcPr>
            <w:tcW w:w="2127" w:type="dxa"/>
          </w:tcPr>
          <w:p w14:paraId="36781078" w14:textId="5D7AE6EE" w:rsidR="00FF43B9" w:rsidRDefault="00FF43B9" w:rsidP="00FF43B9">
            <w:pPr>
              <w:rPr>
                <w:sz w:val="20"/>
                <w:szCs w:val="20"/>
              </w:rPr>
            </w:pPr>
            <w:r>
              <w:rPr>
                <w:rFonts w:eastAsia="Source Sans Pro"/>
                <w:sz w:val="20"/>
                <w:szCs w:val="20"/>
              </w:rPr>
              <w:t xml:space="preserve">Accepted; to implement.  </w:t>
            </w:r>
          </w:p>
        </w:tc>
        <w:tc>
          <w:tcPr>
            <w:tcW w:w="1984" w:type="dxa"/>
          </w:tcPr>
          <w:p w14:paraId="371C8B49" w14:textId="77777777" w:rsidR="00FF43B9" w:rsidRDefault="00FF43B9" w:rsidP="00FF43B9">
            <w:pPr>
              <w:rPr>
                <w:sz w:val="20"/>
                <w:szCs w:val="20"/>
              </w:rPr>
            </w:pPr>
          </w:p>
        </w:tc>
      </w:tr>
      <w:tr w:rsidR="00FF43B9" w:rsidRPr="00D94668" w14:paraId="6169F426" w14:textId="77777777" w:rsidTr="00807CE6">
        <w:trPr>
          <w:trHeight w:val="1356"/>
        </w:trPr>
        <w:tc>
          <w:tcPr>
            <w:tcW w:w="1888" w:type="dxa"/>
          </w:tcPr>
          <w:p w14:paraId="3899951D" w14:textId="1A77A1D2" w:rsidR="00FF43B9" w:rsidRPr="00160B52" w:rsidRDefault="00FF43B9" w:rsidP="00FF43B9">
            <w:pPr>
              <w:rPr>
                <w:color w:val="000000" w:themeColor="text1"/>
                <w:sz w:val="20"/>
                <w:szCs w:val="20"/>
              </w:rPr>
            </w:pPr>
            <w:r w:rsidRPr="00160B52">
              <w:rPr>
                <w:color w:val="000000" w:themeColor="text1"/>
                <w:sz w:val="20"/>
                <w:szCs w:val="20"/>
              </w:rPr>
              <w:t>Department of Home Affairs</w:t>
            </w:r>
          </w:p>
        </w:tc>
        <w:tc>
          <w:tcPr>
            <w:tcW w:w="2223" w:type="dxa"/>
          </w:tcPr>
          <w:p w14:paraId="1E6B4CDC" w14:textId="77777777" w:rsidR="00FF43B9" w:rsidRPr="00160B52" w:rsidRDefault="00FF43B9" w:rsidP="00FF43B9">
            <w:pPr>
              <w:rPr>
                <w:color w:val="000000" w:themeColor="text1"/>
                <w:sz w:val="20"/>
                <w:szCs w:val="20"/>
              </w:rPr>
            </w:pPr>
            <w:r w:rsidRPr="00160B52">
              <w:rPr>
                <w:color w:val="000000" w:themeColor="text1"/>
                <w:sz w:val="20"/>
                <w:szCs w:val="20"/>
              </w:rPr>
              <w:t>Whether the Department delayed processing the complainant’s FOI request</w:t>
            </w:r>
          </w:p>
          <w:p w14:paraId="76FA495E" w14:textId="42374B88" w:rsidR="00FF43B9" w:rsidRPr="00160B52" w:rsidRDefault="00FF43B9" w:rsidP="00FF43B9">
            <w:pPr>
              <w:rPr>
                <w:color w:val="000000" w:themeColor="text1"/>
                <w:sz w:val="20"/>
                <w:szCs w:val="20"/>
              </w:rPr>
            </w:pPr>
            <w:r w:rsidRPr="00160B52">
              <w:rPr>
                <w:color w:val="000000" w:themeColor="text1"/>
                <w:sz w:val="20"/>
                <w:szCs w:val="20"/>
              </w:rPr>
              <w:t xml:space="preserve">Whether the substance of the information released by the Department did not </w:t>
            </w:r>
            <w:r w:rsidRPr="00160B52">
              <w:rPr>
                <w:color w:val="000000" w:themeColor="text1"/>
                <w:sz w:val="20"/>
                <w:szCs w:val="20"/>
              </w:rPr>
              <w:lastRenderedPageBreak/>
              <w:t>meet the terms of the complainant’s revised request</w:t>
            </w:r>
          </w:p>
        </w:tc>
        <w:tc>
          <w:tcPr>
            <w:tcW w:w="1352" w:type="dxa"/>
          </w:tcPr>
          <w:p w14:paraId="7ADD9CC5" w14:textId="352EAED1" w:rsidR="00FF43B9" w:rsidRPr="00160B52" w:rsidRDefault="00FF43B9" w:rsidP="00FF43B9">
            <w:pPr>
              <w:rPr>
                <w:color w:val="000000" w:themeColor="text1"/>
                <w:sz w:val="20"/>
                <w:szCs w:val="20"/>
              </w:rPr>
            </w:pPr>
            <w:r w:rsidRPr="00160B52">
              <w:rPr>
                <w:color w:val="000000" w:themeColor="text1"/>
                <w:sz w:val="20"/>
                <w:szCs w:val="20"/>
              </w:rPr>
              <w:lastRenderedPageBreak/>
              <w:t>Non-personal</w:t>
            </w:r>
          </w:p>
        </w:tc>
        <w:tc>
          <w:tcPr>
            <w:tcW w:w="1483" w:type="dxa"/>
          </w:tcPr>
          <w:p w14:paraId="22D43B10" w14:textId="75C46463" w:rsidR="00FF43B9" w:rsidRPr="00160B52" w:rsidRDefault="00FF43B9" w:rsidP="00FF43B9">
            <w:pPr>
              <w:rPr>
                <w:color w:val="000000" w:themeColor="text1"/>
                <w:sz w:val="20"/>
                <w:szCs w:val="20"/>
              </w:rPr>
            </w:pPr>
            <w:r w:rsidRPr="00160B52">
              <w:rPr>
                <w:color w:val="000000" w:themeColor="text1"/>
                <w:sz w:val="20"/>
                <w:szCs w:val="20"/>
              </w:rPr>
              <w:t>30 November 2023</w:t>
            </w:r>
          </w:p>
        </w:tc>
        <w:tc>
          <w:tcPr>
            <w:tcW w:w="4395" w:type="dxa"/>
          </w:tcPr>
          <w:p w14:paraId="41B7D4D4" w14:textId="73E7B313" w:rsidR="00FF43B9" w:rsidRPr="00160B52" w:rsidRDefault="00FF43B9" w:rsidP="00FF43B9">
            <w:pPr>
              <w:rPr>
                <w:color w:val="000000" w:themeColor="text1"/>
                <w:sz w:val="20"/>
                <w:szCs w:val="20"/>
              </w:rPr>
            </w:pPr>
            <w:r w:rsidRPr="00160B52">
              <w:rPr>
                <w:color w:val="000000" w:themeColor="text1"/>
                <w:sz w:val="20"/>
                <w:szCs w:val="20"/>
              </w:rPr>
              <w:t xml:space="preserve">The Department did not comply with s 15(5)(b) of the FOI Act when processing the complainant’s FOI request dated 29 March 2021, and </w:t>
            </w:r>
          </w:p>
          <w:p w14:paraId="446CA69A" w14:textId="69B63311" w:rsidR="00FF43B9" w:rsidRPr="00160B52" w:rsidRDefault="00FF43B9" w:rsidP="00FF43B9">
            <w:pPr>
              <w:rPr>
                <w:color w:val="000000" w:themeColor="text1"/>
                <w:sz w:val="20"/>
                <w:szCs w:val="20"/>
              </w:rPr>
            </w:pPr>
            <w:r w:rsidRPr="00160B52">
              <w:rPr>
                <w:color w:val="000000" w:themeColor="text1"/>
                <w:sz w:val="20"/>
                <w:szCs w:val="20"/>
              </w:rPr>
              <w:t>The Department misunderstood the scope of the complainant's revised request, resulting in the Department initially providing access to a document which did not meet the terms of the complainant’s revised request and resulted in further delays in processing the request.</w:t>
            </w:r>
          </w:p>
          <w:p w14:paraId="42EA9447" w14:textId="77777777" w:rsidR="00FF43B9" w:rsidRPr="00160B52" w:rsidRDefault="00FF43B9" w:rsidP="00FF43B9">
            <w:pPr>
              <w:rPr>
                <w:color w:val="000000" w:themeColor="text1"/>
                <w:sz w:val="20"/>
                <w:szCs w:val="20"/>
              </w:rPr>
            </w:pPr>
          </w:p>
        </w:tc>
        <w:tc>
          <w:tcPr>
            <w:tcW w:w="5811" w:type="dxa"/>
          </w:tcPr>
          <w:p w14:paraId="5DEB0B3F" w14:textId="3726A9B9" w:rsidR="00FF43B9" w:rsidRDefault="00FF43B9" w:rsidP="00FF43B9">
            <w:pPr>
              <w:autoSpaceDE w:val="0"/>
              <w:autoSpaceDN w:val="0"/>
              <w:adjustRightInd w:val="0"/>
              <w:spacing w:after="0" w:line="240" w:lineRule="auto"/>
              <w:rPr>
                <w:color w:val="000000" w:themeColor="text1"/>
                <w:sz w:val="20"/>
                <w:szCs w:val="20"/>
              </w:rPr>
            </w:pPr>
            <w:r>
              <w:rPr>
                <w:color w:val="000000" w:themeColor="text1"/>
                <w:sz w:val="20"/>
                <w:szCs w:val="20"/>
              </w:rPr>
              <w:lastRenderedPageBreak/>
              <w:t xml:space="preserve">No recommendations were made. </w:t>
            </w:r>
          </w:p>
          <w:p w14:paraId="3C3E46DA" w14:textId="77777777" w:rsidR="00FF43B9" w:rsidRDefault="00FF43B9" w:rsidP="00FF43B9">
            <w:pPr>
              <w:autoSpaceDE w:val="0"/>
              <w:autoSpaceDN w:val="0"/>
              <w:adjustRightInd w:val="0"/>
              <w:spacing w:after="0" w:line="240" w:lineRule="auto"/>
              <w:rPr>
                <w:color w:val="000000" w:themeColor="text1"/>
                <w:sz w:val="20"/>
                <w:szCs w:val="20"/>
              </w:rPr>
            </w:pPr>
          </w:p>
          <w:p w14:paraId="0AC1A08C" w14:textId="450EA55F" w:rsidR="00FF43B9" w:rsidRPr="00160B52" w:rsidRDefault="00FF43B9" w:rsidP="00FF43B9">
            <w:pPr>
              <w:autoSpaceDE w:val="0"/>
              <w:autoSpaceDN w:val="0"/>
              <w:adjustRightInd w:val="0"/>
              <w:spacing w:after="0" w:line="240" w:lineRule="auto"/>
              <w:rPr>
                <w:color w:val="000000" w:themeColor="text1"/>
                <w:sz w:val="20"/>
                <w:szCs w:val="20"/>
              </w:rPr>
            </w:pPr>
            <w:r w:rsidRPr="00160B52">
              <w:rPr>
                <w:color w:val="000000" w:themeColor="text1"/>
                <w:sz w:val="20"/>
                <w:szCs w:val="20"/>
              </w:rPr>
              <w:t>The OAIC did not make any formal recommendations on the basis that similar issues to those raised in this complaint have already been considered and addressed as part of the Commissioner Initiated Investigation into the Department of Home Affairs (CII),</w:t>
            </w:r>
            <w:r w:rsidRPr="00160B52">
              <w:rPr>
                <w:rStyle w:val="FootnoteReference"/>
                <w:color w:val="000000" w:themeColor="text1"/>
                <w:sz w:val="20"/>
                <w:szCs w:val="20"/>
              </w:rPr>
              <w:footnoteReference w:id="3"/>
            </w:r>
            <w:r w:rsidRPr="00160B52">
              <w:rPr>
                <w:color w:val="000000" w:themeColor="text1"/>
                <w:sz w:val="20"/>
                <w:szCs w:val="20"/>
              </w:rPr>
              <w:t xml:space="preserve"> as well as in other FOI complaints.</w:t>
            </w:r>
            <w:r w:rsidRPr="00160B52">
              <w:rPr>
                <w:rStyle w:val="FootnoteReference"/>
                <w:color w:val="000000" w:themeColor="text1"/>
                <w:sz w:val="20"/>
                <w:szCs w:val="20"/>
              </w:rPr>
              <w:footnoteReference w:id="4"/>
            </w:r>
            <w:r w:rsidRPr="00160B52">
              <w:rPr>
                <w:color w:val="000000" w:themeColor="text1"/>
                <w:sz w:val="20"/>
                <w:szCs w:val="20"/>
              </w:rPr>
              <w:t xml:space="preserve"> The OAIC is continuing to monitor the Department’s compliance with statutory timeframes to ensure that the recommendations of the CII and other complaints are implemented and operationalised.</w:t>
            </w:r>
          </w:p>
          <w:p w14:paraId="10CECD57" w14:textId="1D7C1DD5" w:rsidR="00FF43B9" w:rsidRPr="00160B52" w:rsidRDefault="00FF43B9" w:rsidP="00FF43B9">
            <w:pPr>
              <w:pStyle w:val="NumberedParagraphs"/>
              <w:numPr>
                <w:ilvl w:val="0"/>
                <w:numId w:val="0"/>
              </w:numPr>
              <w:spacing w:before="240" w:after="240" w:line="240" w:lineRule="auto"/>
              <w:rPr>
                <w:color w:val="000000" w:themeColor="text1"/>
                <w:sz w:val="20"/>
                <w:szCs w:val="20"/>
              </w:rPr>
            </w:pPr>
            <w:r w:rsidRPr="00160B52">
              <w:rPr>
                <w:color w:val="000000" w:themeColor="text1"/>
                <w:sz w:val="20"/>
                <w:szCs w:val="20"/>
              </w:rPr>
              <w:lastRenderedPageBreak/>
              <w:t>Two suggestions were made:</w:t>
            </w:r>
          </w:p>
          <w:p w14:paraId="5BF7ED87" w14:textId="77777777" w:rsidR="00FF43B9" w:rsidRPr="00160B52" w:rsidRDefault="00FF43B9" w:rsidP="00FF43B9">
            <w:pPr>
              <w:pStyle w:val="ListNumber3"/>
              <w:numPr>
                <w:ilvl w:val="2"/>
                <w:numId w:val="74"/>
              </w:numPr>
              <w:spacing w:after="240" w:line="240" w:lineRule="auto"/>
              <w:rPr>
                <w:color w:val="000000" w:themeColor="text1"/>
                <w:sz w:val="20"/>
                <w:szCs w:val="20"/>
              </w:rPr>
            </w:pPr>
            <w:r w:rsidRPr="00160B52">
              <w:rPr>
                <w:color w:val="000000" w:themeColor="text1"/>
                <w:sz w:val="20"/>
                <w:szCs w:val="20"/>
              </w:rPr>
              <w:t xml:space="preserve">The Department update its </w:t>
            </w:r>
            <w:r w:rsidRPr="00160B52">
              <w:rPr>
                <w:i/>
                <w:iCs/>
                <w:color w:val="000000" w:themeColor="text1"/>
                <w:sz w:val="20"/>
                <w:szCs w:val="20"/>
              </w:rPr>
              <w:t>Processing non-personal Freedom of Information requests Procedural Instruction</w:t>
            </w:r>
            <w:r w:rsidRPr="00160B52">
              <w:rPr>
                <w:color w:val="000000" w:themeColor="text1"/>
                <w:sz w:val="20"/>
                <w:szCs w:val="20"/>
              </w:rPr>
              <w:t xml:space="preserve"> (</w:t>
            </w:r>
            <w:r w:rsidRPr="00160B52">
              <w:rPr>
                <w:i/>
                <w:iCs/>
                <w:color w:val="000000" w:themeColor="text1"/>
                <w:sz w:val="20"/>
                <w:szCs w:val="20"/>
              </w:rPr>
              <w:t>Procedural Instruction</w:t>
            </w:r>
            <w:r w:rsidRPr="00160B52">
              <w:rPr>
                <w:color w:val="000000" w:themeColor="text1"/>
                <w:sz w:val="20"/>
                <w:szCs w:val="20"/>
              </w:rPr>
              <w:t xml:space="preserve">) at [1.4] to contemplate a flexible approach to informal consultation, including emails and telephone calls, to reflect the approach set out in the </w:t>
            </w:r>
            <w:r w:rsidRPr="00160B52">
              <w:rPr>
                <w:i/>
                <w:iCs/>
                <w:color w:val="000000" w:themeColor="text1"/>
                <w:sz w:val="20"/>
                <w:szCs w:val="20"/>
              </w:rPr>
              <w:t>Guidelines issued under s 93A of the FOI Act</w:t>
            </w:r>
            <w:r w:rsidRPr="00160B52">
              <w:rPr>
                <w:color w:val="000000" w:themeColor="text1"/>
                <w:sz w:val="20"/>
                <w:szCs w:val="20"/>
              </w:rPr>
              <w:t xml:space="preserve"> (FOI Guidelines) at [3.53].   </w:t>
            </w:r>
          </w:p>
          <w:p w14:paraId="3C473BDD" w14:textId="2EEB675E" w:rsidR="00FF43B9" w:rsidRPr="00F40217" w:rsidRDefault="00FF43B9" w:rsidP="00FF43B9">
            <w:pPr>
              <w:pStyle w:val="ListNumber3"/>
              <w:numPr>
                <w:ilvl w:val="2"/>
                <w:numId w:val="74"/>
              </w:numPr>
              <w:spacing w:after="240" w:line="240" w:lineRule="auto"/>
              <w:rPr>
                <w:color w:val="000000" w:themeColor="text1"/>
                <w:sz w:val="20"/>
                <w:szCs w:val="20"/>
              </w:rPr>
            </w:pPr>
            <w:r w:rsidRPr="00160B52">
              <w:rPr>
                <w:color w:val="000000" w:themeColor="text1"/>
                <w:sz w:val="20"/>
                <w:szCs w:val="20"/>
              </w:rPr>
              <w:t>The Department update its Procedural Instrument at p17 under the sub-heading ‘Practical Refusal considerations’ to include guidance for officers undertaking the sampling exercise in accordance with FOI Guidelines at [3.121].</w:t>
            </w:r>
          </w:p>
        </w:tc>
        <w:tc>
          <w:tcPr>
            <w:tcW w:w="2127" w:type="dxa"/>
          </w:tcPr>
          <w:p w14:paraId="13D05F7C" w14:textId="30F06484" w:rsidR="00FF43B9" w:rsidRDefault="00FF43B9" w:rsidP="00FF43B9">
            <w:pPr>
              <w:rPr>
                <w:sz w:val="20"/>
                <w:szCs w:val="20"/>
              </w:rPr>
            </w:pPr>
            <w:r>
              <w:rPr>
                <w:sz w:val="20"/>
                <w:szCs w:val="20"/>
              </w:rPr>
              <w:lastRenderedPageBreak/>
              <w:t>Not applicable.</w:t>
            </w:r>
          </w:p>
        </w:tc>
        <w:tc>
          <w:tcPr>
            <w:tcW w:w="1984" w:type="dxa"/>
          </w:tcPr>
          <w:p w14:paraId="3BEBD57D" w14:textId="114CF918" w:rsidR="00FF43B9" w:rsidRDefault="00FF43B9" w:rsidP="00FF43B9">
            <w:pPr>
              <w:rPr>
                <w:sz w:val="20"/>
                <w:szCs w:val="20"/>
              </w:rPr>
            </w:pPr>
            <w:r>
              <w:rPr>
                <w:sz w:val="20"/>
                <w:szCs w:val="20"/>
              </w:rPr>
              <w:t>Not applicable.</w:t>
            </w:r>
          </w:p>
        </w:tc>
      </w:tr>
      <w:tr w:rsidR="00FF43B9" w:rsidRPr="00D94668" w14:paraId="5FE7C3DF" w14:textId="77777777" w:rsidTr="0086062E">
        <w:trPr>
          <w:trHeight w:val="917"/>
        </w:trPr>
        <w:tc>
          <w:tcPr>
            <w:tcW w:w="1888" w:type="dxa"/>
          </w:tcPr>
          <w:p w14:paraId="6791F281" w14:textId="6833E57D" w:rsidR="00FF43B9" w:rsidRDefault="00FF43B9" w:rsidP="00FF43B9">
            <w:pPr>
              <w:rPr>
                <w:sz w:val="20"/>
                <w:szCs w:val="20"/>
              </w:rPr>
            </w:pPr>
            <w:r>
              <w:rPr>
                <w:sz w:val="20"/>
                <w:szCs w:val="20"/>
              </w:rPr>
              <w:t>Comcare</w:t>
            </w:r>
          </w:p>
        </w:tc>
        <w:tc>
          <w:tcPr>
            <w:tcW w:w="2223" w:type="dxa"/>
          </w:tcPr>
          <w:p w14:paraId="77A42C1A" w14:textId="73EE0E42" w:rsidR="00FF43B9" w:rsidRDefault="00FF43B9" w:rsidP="00FF43B9">
            <w:pPr>
              <w:rPr>
                <w:sz w:val="20"/>
                <w:szCs w:val="20"/>
              </w:rPr>
            </w:pPr>
            <w:r>
              <w:rPr>
                <w:sz w:val="20"/>
                <w:szCs w:val="20"/>
              </w:rPr>
              <w:t>Whether the Agency complied with its obligations under s 11C of the FOI in relation to publication of information in its disclosure log</w:t>
            </w:r>
          </w:p>
          <w:p w14:paraId="65113253" w14:textId="6D731B5F" w:rsidR="00FF43B9" w:rsidRDefault="00FF43B9" w:rsidP="00FF43B9">
            <w:pPr>
              <w:rPr>
                <w:sz w:val="20"/>
                <w:szCs w:val="20"/>
              </w:rPr>
            </w:pPr>
            <w:r>
              <w:rPr>
                <w:sz w:val="20"/>
                <w:szCs w:val="20"/>
              </w:rPr>
              <w:t>Whether the Agency complied with its obligations under s 8(2) of the FOI in relation to publication of information on IPS</w:t>
            </w:r>
          </w:p>
        </w:tc>
        <w:tc>
          <w:tcPr>
            <w:tcW w:w="1352" w:type="dxa"/>
          </w:tcPr>
          <w:p w14:paraId="5FC496D5" w14:textId="0AEBB93C" w:rsidR="00FF43B9" w:rsidRDefault="00FF43B9" w:rsidP="00FF43B9">
            <w:pPr>
              <w:rPr>
                <w:sz w:val="20"/>
                <w:szCs w:val="20"/>
              </w:rPr>
            </w:pPr>
            <w:r>
              <w:rPr>
                <w:sz w:val="20"/>
                <w:szCs w:val="20"/>
              </w:rPr>
              <w:t>Non-personal</w:t>
            </w:r>
          </w:p>
        </w:tc>
        <w:tc>
          <w:tcPr>
            <w:tcW w:w="1483" w:type="dxa"/>
          </w:tcPr>
          <w:p w14:paraId="13DB4CD0" w14:textId="3334DE8C" w:rsidR="00FF43B9" w:rsidRDefault="00FF43B9" w:rsidP="00FF43B9">
            <w:pPr>
              <w:rPr>
                <w:sz w:val="20"/>
                <w:szCs w:val="20"/>
              </w:rPr>
            </w:pPr>
            <w:r>
              <w:rPr>
                <w:sz w:val="20"/>
                <w:szCs w:val="20"/>
              </w:rPr>
              <w:t>27 July 2023</w:t>
            </w:r>
          </w:p>
        </w:tc>
        <w:tc>
          <w:tcPr>
            <w:tcW w:w="4395" w:type="dxa"/>
          </w:tcPr>
          <w:p w14:paraId="2C4B5FE9" w14:textId="77777777" w:rsidR="00FF43B9" w:rsidRPr="00BC2F8A" w:rsidRDefault="00FF43B9" w:rsidP="00FF43B9">
            <w:pPr>
              <w:autoSpaceDE w:val="0"/>
              <w:autoSpaceDN w:val="0"/>
              <w:adjustRightInd w:val="0"/>
              <w:spacing w:after="0" w:line="240" w:lineRule="auto"/>
              <w:rPr>
                <w:sz w:val="20"/>
                <w:szCs w:val="20"/>
              </w:rPr>
            </w:pPr>
            <w:r w:rsidRPr="00BC2F8A">
              <w:rPr>
                <w:sz w:val="20"/>
                <w:szCs w:val="20"/>
              </w:rPr>
              <w:t xml:space="preserve">At the time of processing the complainant’s request, the Agency complied with its obligations under s 11C of the FOI Act. </w:t>
            </w:r>
          </w:p>
          <w:p w14:paraId="5C027E56" w14:textId="77777777" w:rsidR="00FF43B9" w:rsidRPr="00BC2F8A" w:rsidRDefault="00FF43B9" w:rsidP="00FF43B9">
            <w:pPr>
              <w:autoSpaceDE w:val="0"/>
              <w:autoSpaceDN w:val="0"/>
              <w:adjustRightInd w:val="0"/>
              <w:spacing w:after="0" w:line="240" w:lineRule="auto"/>
              <w:rPr>
                <w:sz w:val="20"/>
                <w:szCs w:val="20"/>
              </w:rPr>
            </w:pPr>
          </w:p>
          <w:p w14:paraId="5F1E7C76" w14:textId="76AA50A0" w:rsidR="00FF43B9" w:rsidRDefault="00FF43B9" w:rsidP="00FF43B9">
            <w:pPr>
              <w:autoSpaceDE w:val="0"/>
              <w:autoSpaceDN w:val="0"/>
              <w:adjustRightInd w:val="0"/>
              <w:spacing w:after="0" w:line="240" w:lineRule="auto"/>
              <w:rPr>
                <w:sz w:val="20"/>
                <w:szCs w:val="20"/>
              </w:rPr>
            </w:pPr>
            <w:r w:rsidRPr="00BC2F8A">
              <w:rPr>
                <w:sz w:val="20"/>
                <w:szCs w:val="20"/>
              </w:rPr>
              <w:t>The Agency's practices in relation to the publication of information under ss 8(2) and 11C of the FOI Act could be improved</w:t>
            </w:r>
          </w:p>
        </w:tc>
        <w:tc>
          <w:tcPr>
            <w:tcW w:w="5811" w:type="dxa"/>
          </w:tcPr>
          <w:p w14:paraId="5C1A6A74" w14:textId="07071FE4" w:rsidR="00FF43B9" w:rsidRDefault="00FF43B9" w:rsidP="00FF43B9">
            <w:pPr>
              <w:autoSpaceDE w:val="0"/>
              <w:autoSpaceDN w:val="0"/>
              <w:adjustRightInd w:val="0"/>
              <w:spacing w:after="0" w:line="240" w:lineRule="auto"/>
              <w:rPr>
                <w:rFonts w:eastAsiaTheme="minorEastAsia" w:cs="SourceSansPro-Regular"/>
                <w:sz w:val="20"/>
                <w:szCs w:val="20"/>
                <w:lang w:eastAsia="ko-KR"/>
              </w:rPr>
            </w:pPr>
            <w:r>
              <w:rPr>
                <w:rFonts w:eastAsiaTheme="minorEastAsia" w:cs="SourceSansPro-Regular"/>
                <w:sz w:val="20"/>
                <w:szCs w:val="20"/>
                <w:lang w:eastAsia="ko-KR"/>
              </w:rPr>
              <w:t xml:space="preserve">One </w:t>
            </w:r>
            <w:r w:rsidRPr="00AA2818">
              <w:rPr>
                <w:color w:val="000000" w:themeColor="text1"/>
                <w:sz w:val="20"/>
                <w:szCs w:val="20"/>
              </w:rPr>
              <w:t>recommendation</w:t>
            </w:r>
            <w:r>
              <w:rPr>
                <w:rFonts w:eastAsiaTheme="minorEastAsia" w:cs="SourceSansPro-Regular"/>
                <w:sz w:val="20"/>
                <w:szCs w:val="20"/>
                <w:lang w:eastAsia="ko-KR"/>
              </w:rPr>
              <w:t xml:space="preserve"> was made: </w:t>
            </w:r>
          </w:p>
          <w:p w14:paraId="4FAC57A3" w14:textId="0AE3B16D" w:rsidR="00FF43B9" w:rsidRDefault="00FF43B9" w:rsidP="00FF43B9">
            <w:pPr>
              <w:pStyle w:val="ListParagraph"/>
              <w:numPr>
                <w:ilvl w:val="0"/>
                <w:numId w:val="75"/>
              </w:numPr>
              <w:autoSpaceDE w:val="0"/>
              <w:autoSpaceDN w:val="0"/>
              <w:adjustRightInd w:val="0"/>
              <w:spacing w:after="0" w:line="240" w:lineRule="auto"/>
            </w:pPr>
            <w:r w:rsidRPr="00BA7BED">
              <w:rPr>
                <w:sz w:val="20"/>
                <w:szCs w:val="20"/>
              </w:rPr>
              <w:t xml:space="preserve">That, </w:t>
            </w:r>
            <w:r w:rsidRPr="00BA7BED">
              <w:rPr>
                <w:color w:val="000000" w:themeColor="text1"/>
                <w:sz w:val="20"/>
                <w:szCs w:val="20"/>
              </w:rPr>
              <w:t>in</w:t>
            </w:r>
            <w:r w:rsidRPr="00BA7BED">
              <w:rPr>
                <w:sz w:val="20"/>
                <w:szCs w:val="20"/>
              </w:rPr>
              <w:t xml:space="preserve"> the absence of any overriding legal obligation, the Agency publish the Claims Manual on the IPS in accordance with s 8(2)(j) of the FOI Act.</w:t>
            </w:r>
          </w:p>
          <w:p w14:paraId="1EC0129B" w14:textId="5554589D" w:rsidR="00FF43B9" w:rsidRPr="008C7AE5" w:rsidRDefault="00FF43B9" w:rsidP="00FF43B9">
            <w:pPr>
              <w:pStyle w:val="NumberedParagraphs"/>
              <w:numPr>
                <w:ilvl w:val="0"/>
                <w:numId w:val="0"/>
              </w:numPr>
              <w:spacing w:before="240" w:after="240" w:line="240" w:lineRule="auto"/>
              <w:rPr>
                <w:sz w:val="20"/>
                <w:szCs w:val="20"/>
              </w:rPr>
            </w:pPr>
            <w:r w:rsidRPr="008C7AE5">
              <w:rPr>
                <w:sz w:val="20"/>
                <w:szCs w:val="20"/>
              </w:rPr>
              <w:t xml:space="preserve">Three </w:t>
            </w:r>
            <w:r w:rsidRPr="00B85239">
              <w:rPr>
                <w:color w:val="000000" w:themeColor="text1"/>
                <w:sz w:val="20"/>
                <w:szCs w:val="20"/>
              </w:rPr>
              <w:t>suggestions</w:t>
            </w:r>
            <w:r w:rsidRPr="008C7AE5">
              <w:rPr>
                <w:sz w:val="20"/>
                <w:szCs w:val="20"/>
              </w:rPr>
              <w:t xml:space="preserve"> were made</w:t>
            </w:r>
            <w:r>
              <w:rPr>
                <w:sz w:val="20"/>
                <w:szCs w:val="20"/>
              </w:rPr>
              <w:t>:</w:t>
            </w:r>
          </w:p>
          <w:p w14:paraId="2E7C2B4E" w14:textId="41EC11F5" w:rsidR="00FF43B9" w:rsidRDefault="00FF43B9" w:rsidP="00FF43B9">
            <w:pPr>
              <w:pStyle w:val="ListNumber3"/>
              <w:numPr>
                <w:ilvl w:val="2"/>
                <w:numId w:val="76"/>
              </w:numPr>
              <w:spacing w:after="240" w:line="240" w:lineRule="auto"/>
              <w:rPr>
                <w:sz w:val="20"/>
                <w:szCs w:val="20"/>
              </w:rPr>
            </w:pPr>
            <w:r>
              <w:rPr>
                <w:sz w:val="20"/>
                <w:szCs w:val="20"/>
              </w:rPr>
              <w:t>T</w:t>
            </w:r>
            <w:r w:rsidRPr="00D31543">
              <w:rPr>
                <w:sz w:val="20"/>
                <w:szCs w:val="20"/>
              </w:rPr>
              <w:t>he Agency is to implement technical solutions to support publishing documents for direct access through the disclosure log webpage in an accessible format</w:t>
            </w:r>
            <w:r>
              <w:rPr>
                <w:sz w:val="20"/>
                <w:szCs w:val="20"/>
              </w:rPr>
              <w:t>.</w:t>
            </w:r>
            <w:r w:rsidRPr="00D31543">
              <w:rPr>
                <w:sz w:val="20"/>
                <w:szCs w:val="20"/>
              </w:rPr>
              <w:t xml:space="preserve"> </w:t>
            </w:r>
          </w:p>
          <w:p w14:paraId="2C07CDBA" w14:textId="120A526B" w:rsidR="00FF43B9" w:rsidRDefault="00FF43B9" w:rsidP="00FF43B9">
            <w:pPr>
              <w:pStyle w:val="ListNumber3"/>
              <w:numPr>
                <w:ilvl w:val="2"/>
                <w:numId w:val="76"/>
              </w:numPr>
              <w:spacing w:after="240" w:line="240" w:lineRule="auto"/>
              <w:rPr>
                <w:sz w:val="20"/>
                <w:szCs w:val="20"/>
              </w:rPr>
            </w:pPr>
            <w:r>
              <w:rPr>
                <w:sz w:val="20"/>
                <w:szCs w:val="20"/>
              </w:rPr>
              <w:t>The Agency is to update the OAIC on expected timeframes for completion of information being published directly on the Agency’s disclosure log webpage in an accessible format.</w:t>
            </w:r>
          </w:p>
          <w:p w14:paraId="07E88D7B" w14:textId="56C5F33A" w:rsidR="00FF43B9" w:rsidRPr="006C5195" w:rsidRDefault="00FF43B9" w:rsidP="00FF43B9">
            <w:pPr>
              <w:pStyle w:val="ListNumber3"/>
              <w:numPr>
                <w:ilvl w:val="2"/>
                <w:numId w:val="76"/>
              </w:numPr>
              <w:spacing w:after="240" w:line="240" w:lineRule="auto"/>
              <w:rPr>
                <w:sz w:val="20"/>
                <w:szCs w:val="20"/>
              </w:rPr>
            </w:pPr>
            <w:r>
              <w:rPr>
                <w:sz w:val="20"/>
                <w:szCs w:val="20"/>
              </w:rPr>
              <w:t>T</w:t>
            </w:r>
            <w:r w:rsidRPr="006C5195">
              <w:rPr>
                <w:sz w:val="20"/>
                <w:szCs w:val="20"/>
              </w:rPr>
              <w:t>he Agency consider placing a notification on its website advising it has launched a project to provide a single source of information to replace the Claims Manual in an accessible format for publication on the Information Publication</w:t>
            </w:r>
            <w:r>
              <w:t xml:space="preserve"> </w:t>
            </w:r>
            <w:r w:rsidRPr="006C5195">
              <w:rPr>
                <w:sz w:val="20"/>
                <w:szCs w:val="20"/>
              </w:rPr>
              <w:t>Scheme (IPS), with an expected timeframe for completion</w:t>
            </w:r>
            <w:r>
              <w:rPr>
                <w:sz w:val="20"/>
                <w:szCs w:val="20"/>
              </w:rPr>
              <w:t>.</w:t>
            </w:r>
            <w:r w:rsidRPr="006C5195">
              <w:rPr>
                <w:sz w:val="20"/>
                <w:szCs w:val="20"/>
              </w:rPr>
              <w:t xml:space="preserve"> </w:t>
            </w:r>
          </w:p>
          <w:p w14:paraId="2F999DD9" w14:textId="7933BDAF" w:rsidR="00FF43B9" w:rsidRDefault="00FF43B9" w:rsidP="00FF43B9">
            <w:pPr>
              <w:autoSpaceDE w:val="0"/>
              <w:autoSpaceDN w:val="0"/>
              <w:adjustRightInd w:val="0"/>
              <w:spacing w:after="0" w:line="240" w:lineRule="auto"/>
              <w:rPr>
                <w:rFonts w:eastAsiaTheme="minorEastAsia" w:cs="SourceSansPro-Regular"/>
                <w:sz w:val="20"/>
                <w:szCs w:val="20"/>
                <w:lang w:eastAsia="ko-KR"/>
              </w:rPr>
            </w:pPr>
          </w:p>
        </w:tc>
        <w:tc>
          <w:tcPr>
            <w:tcW w:w="2127" w:type="dxa"/>
          </w:tcPr>
          <w:p w14:paraId="334965A6" w14:textId="622F5755" w:rsidR="00FF43B9" w:rsidRDefault="00FF43B9" w:rsidP="00FF43B9">
            <w:pPr>
              <w:rPr>
                <w:rFonts w:eastAsia="Source Sans Pro"/>
                <w:sz w:val="20"/>
                <w:szCs w:val="20"/>
              </w:rPr>
            </w:pPr>
            <w:r>
              <w:rPr>
                <w:rFonts w:eastAsia="Source Sans Pro"/>
                <w:sz w:val="20"/>
                <w:szCs w:val="20"/>
              </w:rPr>
              <w:t xml:space="preserve">Recommendation implemented. Suggestions not implemented – exploring implementation. </w:t>
            </w:r>
          </w:p>
        </w:tc>
        <w:tc>
          <w:tcPr>
            <w:tcW w:w="1984" w:type="dxa"/>
          </w:tcPr>
          <w:p w14:paraId="21CD66A6" w14:textId="78CD4BBD" w:rsidR="00FF43B9" w:rsidRDefault="00FF43B9" w:rsidP="00FF43B9">
            <w:pPr>
              <w:rPr>
                <w:sz w:val="20"/>
                <w:szCs w:val="20"/>
              </w:rPr>
            </w:pPr>
            <w:r>
              <w:rPr>
                <w:sz w:val="20"/>
                <w:szCs w:val="20"/>
              </w:rPr>
              <w:t>No further action to be taken</w:t>
            </w:r>
          </w:p>
        </w:tc>
      </w:tr>
      <w:tr w:rsidR="00FF43B9" w:rsidRPr="00D94668" w14:paraId="05B1C1B5" w14:textId="77777777" w:rsidTr="0086062E">
        <w:trPr>
          <w:trHeight w:val="1909"/>
        </w:trPr>
        <w:tc>
          <w:tcPr>
            <w:tcW w:w="1888" w:type="dxa"/>
          </w:tcPr>
          <w:p w14:paraId="1CAB11B4" w14:textId="6E1014BA" w:rsidR="00FF43B9" w:rsidRPr="009A4DA0" w:rsidRDefault="00FF43B9" w:rsidP="00FF43B9">
            <w:pPr>
              <w:rPr>
                <w:sz w:val="20"/>
                <w:szCs w:val="20"/>
              </w:rPr>
            </w:pPr>
            <w:r>
              <w:rPr>
                <w:sz w:val="20"/>
                <w:szCs w:val="20"/>
              </w:rPr>
              <w:t>Department of Prime Minister and Cabinet</w:t>
            </w:r>
          </w:p>
        </w:tc>
        <w:tc>
          <w:tcPr>
            <w:tcW w:w="2223" w:type="dxa"/>
          </w:tcPr>
          <w:p w14:paraId="67100B39" w14:textId="4B46929B" w:rsidR="00FF43B9" w:rsidRDefault="00FF43B9" w:rsidP="00FF43B9">
            <w:pPr>
              <w:rPr>
                <w:sz w:val="20"/>
                <w:szCs w:val="20"/>
              </w:rPr>
            </w:pPr>
            <w:r>
              <w:rPr>
                <w:sz w:val="20"/>
                <w:szCs w:val="20"/>
              </w:rPr>
              <w:t xml:space="preserve">Whether misinterpretation of FOI request resulted in misdirection of request to incorrect Department </w:t>
            </w:r>
          </w:p>
          <w:p w14:paraId="60E5FF88" w14:textId="4FCECACA" w:rsidR="00FF43B9" w:rsidRDefault="00FF43B9" w:rsidP="00FF43B9">
            <w:pPr>
              <w:rPr>
                <w:sz w:val="20"/>
                <w:szCs w:val="20"/>
              </w:rPr>
            </w:pPr>
            <w:r>
              <w:rPr>
                <w:sz w:val="20"/>
                <w:szCs w:val="20"/>
              </w:rPr>
              <w:t xml:space="preserve">Adequacy of the Department’s policies and procedures to </w:t>
            </w:r>
            <w:r>
              <w:rPr>
                <w:sz w:val="20"/>
                <w:szCs w:val="20"/>
              </w:rPr>
              <w:lastRenderedPageBreak/>
              <w:t>distinguish FOI requests received via shared email between the Department and the Office of the Prime Minister (PMO)</w:t>
            </w:r>
          </w:p>
          <w:p w14:paraId="01902470" w14:textId="40D887CB" w:rsidR="00FF43B9" w:rsidRDefault="00FF43B9" w:rsidP="00FF43B9">
            <w:pPr>
              <w:rPr>
                <w:sz w:val="20"/>
                <w:szCs w:val="20"/>
              </w:rPr>
            </w:pPr>
            <w:r>
              <w:rPr>
                <w:sz w:val="20"/>
                <w:szCs w:val="20"/>
              </w:rPr>
              <w:t>Failure to consider transferring the FOI request</w:t>
            </w:r>
          </w:p>
          <w:p w14:paraId="69D2F510" w14:textId="00470D5E" w:rsidR="00FF43B9" w:rsidRDefault="00FF43B9" w:rsidP="00FF43B9">
            <w:pPr>
              <w:rPr>
                <w:sz w:val="20"/>
                <w:szCs w:val="20"/>
              </w:rPr>
            </w:pPr>
            <w:r>
              <w:rPr>
                <w:sz w:val="20"/>
                <w:szCs w:val="20"/>
              </w:rPr>
              <w:t xml:space="preserve">Whether the Department’s practices are consistent with the objects of the FOI Act in particular s 3(4) and relationship between ss 16 and 24AB of FOI Act </w:t>
            </w:r>
          </w:p>
        </w:tc>
        <w:tc>
          <w:tcPr>
            <w:tcW w:w="1352" w:type="dxa"/>
          </w:tcPr>
          <w:p w14:paraId="5D105C60" w14:textId="0F7F1E66" w:rsidR="00FF43B9" w:rsidRDefault="00FF43B9" w:rsidP="00FF43B9">
            <w:pPr>
              <w:rPr>
                <w:sz w:val="20"/>
                <w:szCs w:val="20"/>
              </w:rPr>
            </w:pPr>
            <w:r>
              <w:rPr>
                <w:sz w:val="20"/>
                <w:szCs w:val="20"/>
              </w:rPr>
              <w:lastRenderedPageBreak/>
              <w:t>Non-personal</w:t>
            </w:r>
          </w:p>
        </w:tc>
        <w:tc>
          <w:tcPr>
            <w:tcW w:w="1483" w:type="dxa"/>
          </w:tcPr>
          <w:p w14:paraId="57B4A87D" w14:textId="02495656" w:rsidR="00FF43B9" w:rsidRDefault="00FF43B9" w:rsidP="00FF43B9">
            <w:pPr>
              <w:rPr>
                <w:sz w:val="20"/>
                <w:szCs w:val="20"/>
              </w:rPr>
            </w:pPr>
            <w:r>
              <w:rPr>
                <w:sz w:val="20"/>
                <w:szCs w:val="20"/>
              </w:rPr>
              <w:t>14 June 2023</w:t>
            </w:r>
          </w:p>
        </w:tc>
        <w:tc>
          <w:tcPr>
            <w:tcW w:w="4395" w:type="dxa"/>
          </w:tcPr>
          <w:p w14:paraId="11938BD9" w14:textId="35E28BA5" w:rsidR="00FF43B9" w:rsidRDefault="00FF43B9" w:rsidP="00FF43B9">
            <w:pPr>
              <w:autoSpaceDE w:val="0"/>
              <w:autoSpaceDN w:val="0"/>
              <w:adjustRightInd w:val="0"/>
              <w:spacing w:after="0" w:line="240" w:lineRule="auto"/>
              <w:rPr>
                <w:sz w:val="20"/>
                <w:szCs w:val="20"/>
              </w:rPr>
            </w:pPr>
            <w:r>
              <w:rPr>
                <w:sz w:val="20"/>
                <w:szCs w:val="20"/>
              </w:rPr>
              <w:t>The Department, at the time of processing the complainant’s FOI request, did not engage in practices appropriate to advancing the objects of the FOI Act, and particularly, to facilitate and promote public access to information, promptly and at the lowest reasonable costs (s 3(4) of the FOI Act). This is in circumstances where the Department:</w:t>
            </w:r>
          </w:p>
          <w:p w14:paraId="066C5FFF" w14:textId="072541DE" w:rsidR="00FF43B9" w:rsidRDefault="00FF43B9" w:rsidP="00FF43B9">
            <w:pPr>
              <w:pStyle w:val="ListParagraph"/>
              <w:numPr>
                <w:ilvl w:val="0"/>
                <w:numId w:val="41"/>
              </w:numPr>
              <w:autoSpaceDE w:val="0"/>
              <w:autoSpaceDN w:val="0"/>
              <w:adjustRightInd w:val="0"/>
              <w:spacing w:after="0" w:line="240" w:lineRule="auto"/>
              <w:rPr>
                <w:sz w:val="20"/>
                <w:szCs w:val="20"/>
              </w:rPr>
            </w:pPr>
            <w:r w:rsidRPr="00F41D23">
              <w:rPr>
                <w:sz w:val="20"/>
                <w:szCs w:val="20"/>
              </w:rPr>
              <w:t xml:space="preserve">did not engage in early consultation with the complainant before making a judgement, in the first instance, as </w:t>
            </w:r>
            <w:r w:rsidRPr="00F41D23">
              <w:rPr>
                <w:sz w:val="20"/>
                <w:szCs w:val="20"/>
              </w:rPr>
              <w:lastRenderedPageBreak/>
              <w:t>to whether the FOI request was directed to the Department o</w:t>
            </w:r>
            <w:r>
              <w:rPr>
                <w:sz w:val="20"/>
                <w:szCs w:val="20"/>
              </w:rPr>
              <w:t>r</w:t>
            </w:r>
            <w:r w:rsidRPr="00F41D23">
              <w:rPr>
                <w:sz w:val="20"/>
                <w:szCs w:val="20"/>
              </w:rPr>
              <w:t xml:space="preserve"> the PMO, nor before it commenced a formal request consultation process under s24AB of the FOI Act. This is not consistent with the requirements of the FOI Guidelines, </w:t>
            </w:r>
            <w:r>
              <w:rPr>
                <w:sz w:val="20"/>
                <w:szCs w:val="20"/>
              </w:rPr>
              <w:t xml:space="preserve">particularly 3.55, 3.69, 3.72 and 3.128, and </w:t>
            </w:r>
          </w:p>
          <w:p w14:paraId="6A57DAEB" w14:textId="79C92D7A" w:rsidR="00FF43B9" w:rsidRPr="00F41D23" w:rsidRDefault="00FF43B9" w:rsidP="00FF43B9">
            <w:pPr>
              <w:pStyle w:val="ListParagraph"/>
              <w:numPr>
                <w:ilvl w:val="0"/>
                <w:numId w:val="41"/>
              </w:numPr>
              <w:autoSpaceDE w:val="0"/>
              <w:autoSpaceDN w:val="0"/>
              <w:adjustRightInd w:val="0"/>
              <w:spacing w:after="0" w:line="240" w:lineRule="auto"/>
              <w:rPr>
                <w:sz w:val="20"/>
                <w:szCs w:val="20"/>
              </w:rPr>
            </w:pPr>
            <w:r>
              <w:rPr>
                <w:sz w:val="20"/>
                <w:szCs w:val="20"/>
              </w:rPr>
              <w:t xml:space="preserve">ought to have at least considered the exercise of its discretion conferred by </w:t>
            </w:r>
            <w:r>
              <w:rPr>
                <w:sz w:val="20"/>
                <w:szCs w:val="20"/>
              </w:rPr>
              <w:br/>
              <w:t xml:space="preserve">s 16 of the FOI Act to transfer the complainant’s FOI request to the PMO, which it was not precluded from doing. </w:t>
            </w:r>
          </w:p>
          <w:p w14:paraId="59D0EF90" w14:textId="791E7C85" w:rsidR="00FF43B9" w:rsidRDefault="00FF43B9" w:rsidP="00FF43B9">
            <w:pPr>
              <w:autoSpaceDE w:val="0"/>
              <w:autoSpaceDN w:val="0"/>
              <w:adjustRightInd w:val="0"/>
              <w:spacing w:after="0" w:line="240" w:lineRule="auto"/>
              <w:rPr>
                <w:sz w:val="20"/>
                <w:szCs w:val="20"/>
              </w:rPr>
            </w:pPr>
          </w:p>
          <w:p w14:paraId="48B0A68A" w14:textId="12281154" w:rsidR="00FF43B9" w:rsidRDefault="00FF43B9" w:rsidP="00FF43B9">
            <w:pPr>
              <w:autoSpaceDE w:val="0"/>
              <w:autoSpaceDN w:val="0"/>
              <w:adjustRightInd w:val="0"/>
              <w:spacing w:after="0" w:line="240" w:lineRule="auto"/>
              <w:rPr>
                <w:sz w:val="20"/>
                <w:szCs w:val="20"/>
              </w:rPr>
            </w:pPr>
          </w:p>
        </w:tc>
        <w:tc>
          <w:tcPr>
            <w:tcW w:w="5811" w:type="dxa"/>
          </w:tcPr>
          <w:p w14:paraId="3C449D44" w14:textId="62D5087B" w:rsidR="00FF43B9" w:rsidRDefault="00FF43B9" w:rsidP="00FF43B9">
            <w:pPr>
              <w:autoSpaceDE w:val="0"/>
              <w:autoSpaceDN w:val="0"/>
              <w:adjustRightInd w:val="0"/>
              <w:spacing w:after="0" w:line="240" w:lineRule="auto"/>
              <w:rPr>
                <w:rFonts w:eastAsiaTheme="minorEastAsia" w:cs="SourceSansPro-Regular"/>
                <w:sz w:val="20"/>
                <w:szCs w:val="20"/>
                <w:lang w:eastAsia="ko-KR"/>
              </w:rPr>
            </w:pPr>
            <w:r>
              <w:rPr>
                <w:rFonts w:eastAsiaTheme="minorEastAsia" w:cs="SourceSansPro-Regular"/>
                <w:sz w:val="20"/>
                <w:szCs w:val="20"/>
                <w:lang w:eastAsia="ko-KR"/>
              </w:rPr>
              <w:lastRenderedPageBreak/>
              <w:t>Four recommendations were made:</w:t>
            </w:r>
          </w:p>
          <w:p w14:paraId="3A4AC4C6" w14:textId="6060A059" w:rsidR="00FF43B9" w:rsidRDefault="00FF43B9" w:rsidP="00FF43B9">
            <w:pPr>
              <w:pStyle w:val="ListParagraph"/>
              <w:numPr>
                <w:ilvl w:val="0"/>
                <w:numId w:val="43"/>
              </w:numPr>
              <w:autoSpaceDE w:val="0"/>
              <w:autoSpaceDN w:val="0"/>
              <w:adjustRightInd w:val="0"/>
              <w:spacing w:after="0" w:line="240" w:lineRule="auto"/>
              <w:ind w:left="720"/>
              <w:rPr>
                <w:rFonts w:eastAsiaTheme="minorEastAsia" w:cs="SourceSansPro-Regular"/>
                <w:sz w:val="20"/>
                <w:szCs w:val="20"/>
                <w:lang w:eastAsia="ko-KR"/>
              </w:rPr>
            </w:pPr>
            <w:r>
              <w:rPr>
                <w:rFonts w:eastAsiaTheme="minorEastAsia" w:cs="SourceSansPro-Regular"/>
                <w:sz w:val="20"/>
                <w:szCs w:val="20"/>
                <w:lang w:eastAsia="ko-KR"/>
              </w:rPr>
              <w:t>The Department create formalised written policies and/or procedures to distinguish between FOI requests made to the Department and the PMO.</w:t>
            </w:r>
          </w:p>
          <w:p w14:paraId="18FD51AC" w14:textId="77777777" w:rsidR="00FF43B9" w:rsidRDefault="00FF43B9" w:rsidP="00FF43B9">
            <w:pPr>
              <w:pStyle w:val="ListParagraph"/>
              <w:autoSpaceDE w:val="0"/>
              <w:autoSpaceDN w:val="0"/>
              <w:adjustRightInd w:val="0"/>
              <w:spacing w:after="0" w:line="240" w:lineRule="auto"/>
              <w:rPr>
                <w:rFonts w:eastAsiaTheme="minorEastAsia" w:cs="SourceSansPro-Regular"/>
                <w:sz w:val="20"/>
                <w:szCs w:val="20"/>
                <w:lang w:eastAsia="ko-KR"/>
              </w:rPr>
            </w:pPr>
          </w:p>
          <w:p w14:paraId="4E0E9007" w14:textId="75F46B11" w:rsidR="00FF43B9" w:rsidRDefault="00FF43B9" w:rsidP="00FF43B9">
            <w:pPr>
              <w:pStyle w:val="ListParagraph"/>
              <w:numPr>
                <w:ilvl w:val="0"/>
                <w:numId w:val="43"/>
              </w:numPr>
              <w:autoSpaceDE w:val="0"/>
              <w:autoSpaceDN w:val="0"/>
              <w:adjustRightInd w:val="0"/>
              <w:spacing w:after="0" w:line="240" w:lineRule="auto"/>
              <w:ind w:left="720"/>
              <w:rPr>
                <w:rFonts w:eastAsiaTheme="minorEastAsia" w:cs="SourceSansPro-Regular"/>
                <w:sz w:val="20"/>
                <w:szCs w:val="20"/>
                <w:lang w:eastAsia="ko-KR"/>
              </w:rPr>
            </w:pPr>
            <w:r w:rsidRPr="008F25D0">
              <w:rPr>
                <w:rFonts w:eastAsiaTheme="minorEastAsia" w:cs="SourceSansPro-Regular"/>
                <w:sz w:val="20"/>
                <w:szCs w:val="20"/>
                <w:lang w:eastAsia="ko-KR"/>
              </w:rPr>
              <w:t xml:space="preserve">The Department create formalised written policies and/or procedures </w:t>
            </w:r>
            <w:r>
              <w:rPr>
                <w:rFonts w:eastAsiaTheme="minorEastAsia" w:cs="SourceSansPro-Regular"/>
                <w:sz w:val="20"/>
                <w:szCs w:val="20"/>
                <w:lang w:eastAsia="ko-KR"/>
              </w:rPr>
              <w:t>to rectify</w:t>
            </w:r>
            <w:r w:rsidRPr="008F25D0">
              <w:rPr>
                <w:rFonts w:eastAsiaTheme="minorEastAsia" w:cs="SourceSansPro-Regular"/>
                <w:sz w:val="20"/>
                <w:szCs w:val="20"/>
                <w:lang w:eastAsia="ko-KR"/>
              </w:rPr>
              <w:t xml:space="preserve"> situations where a FOI request has been misdirected</w:t>
            </w:r>
            <w:r>
              <w:rPr>
                <w:rFonts w:eastAsiaTheme="minorEastAsia" w:cs="SourceSansPro-Regular"/>
                <w:sz w:val="20"/>
                <w:szCs w:val="20"/>
                <w:lang w:eastAsia="ko-KR"/>
              </w:rPr>
              <w:t>.</w:t>
            </w:r>
          </w:p>
          <w:p w14:paraId="0968EB5D" w14:textId="77777777" w:rsidR="00FF43B9" w:rsidRDefault="00FF43B9" w:rsidP="00FF43B9">
            <w:pPr>
              <w:pStyle w:val="ListParagraph"/>
              <w:autoSpaceDE w:val="0"/>
              <w:autoSpaceDN w:val="0"/>
              <w:adjustRightInd w:val="0"/>
              <w:spacing w:after="0" w:line="240" w:lineRule="auto"/>
              <w:rPr>
                <w:rFonts w:eastAsiaTheme="minorEastAsia" w:cs="SourceSansPro-Regular"/>
                <w:sz w:val="20"/>
                <w:szCs w:val="20"/>
                <w:lang w:eastAsia="ko-KR"/>
              </w:rPr>
            </w:pPr>
          </w:p>
          <w:p w14:paraId="2E5FE5FB" w14:textId="77777777" w:rsidR="00FF43B9" w:rsidRDefault="00FF43B9" w:rsidP="00FF43B9">
            <w:pPr>
              <w:pStyle w:val="ListParagraph"/>
              <w:numPr>
                <w:ilvl w:val="0"/>
                <w:numId w:val="43"/>
              </w:numPr>
              <w:autoSpaceDE w:val="0"/>
              <w:autoSpaceDN w:val="0"/>
              <w:adjustRightInd w:val="0"/>
              <w:spacing w:after="0" w:line="240" w:lineRule="auto"/>
              <w:ind w:left="720"/>
              <w:rPr>
                <w:rFonts w:eastAsiaTheme="minorEastAsia" w:cs="SourceSansPro-Regular"/>
                <w:sz w:val="20"/>
                <w:szCs w:val="20"/>
                <w:lang w:eastAsia="ko-KR"/>
              </w:rPr>
            </w:pPr>
            <w:r w:rsidRPr="008F25D0">
              <w:rPr>
                <w:rFonts w:eastAsiaTheme="minorEastAsia" w:cs="SourceSansPro-Regular"/>
                <w:sz w:val="20"/>
                <w:szCs w:val="20"/>
                <w:lang w:eastAsia="ko-KR"/>
              </w:rPr>
              <w:lastRenderedPageBreak/>
              <w:t xml:space="preserve">The Department update any internal guidance to reflect the opinion and conclusions reached in this investigation </w:t>
            </w:r>
            <w:r>
              <w:rPr>
                <w:rFonts w:eastAsiaTheme="minorEastAsia" w:cs="SourceSansPro-Regular"/>
                <w:sz w:val="20"/>
                <w:szCs w:val="20"/>
                <w:lang w:eastAsia="ko-KR"/>
              </w:rPr>
              <w:t>about the relationship between ss 16 24AB of the FOI Act.</w:t>
            </w:r>
          </w:p>
          <w:p w14:paraId="379E5780" w14:textId="46E08520" w:rsidR="00FF43B9" w:rsidRDefault="00FF43B9" w:rsidP="00FF43B9">
            <w:pPr>
              <w:pStyle w:val="ListParagraph"/>
              <w:autoSpaceDE w:val="0"/>
              <w:autoSpaceDN w:val="0"/>
              <w:adjustRightInd w:val="0"/>
              <w:spacing w:after="0" w:line="240" w:lineRule="auto"/>
              <w:rPr>
                <w:rFonts w:eastAsiaTheme="minorEastAsia" w:cs="SourceSansPro-Regular"/>
                <w:sz w:val="20"/>
                <w:szCs w:val="20"/>
                <w:lang w:eastAsia="ko-KR"/>
              </w:rPr>
            </w:pPr>
            <w:r>
              <w:rPr>
                <w:rFonts w:eastAsiaTheme="minorEastAsia" w:cs="SourceSansPro-Regular"/>
                <w:sz w:val="20"/>
                <w:szCs w:val="20"/>
                <w:lang w:eastAsia="ko-KR"/>
              </w:rPr>
              <w:t xml:space="preserve"> </w:t>
            </w:r>
          </w:p>
          <w:p w14:paraId="386A80EF" w14:textId="77777777" w:rsidR="00FF43B9" w:rsidRDefault="00FF43B9" w:rsidP="00FF43B9">
            <w:pPr>
              <w:pStyle w:val="ListParagraph"/>
              <w:numPr>
                <w:ilvl w:val="0"/>
                <w:numId w:val="43"/>
              </w:numPr>
              <w:autoSpaceDE w:val="0"/>
              <w:autoSpaceDN w:val="0"/>
              <w:adjustRightInd w:val="0"/>
              <w:spacing w:after="0" w:line="240" w:lineRule="auto"/>
              <w:ind w:left="720"/>
              <w:rPr>
                <w:rFonts w:eastAsiaTheme="minorEastAsia" w:cs="SourceSansPro-Regular"/>
                <w:sz w:val="20"/>
                <w:szCs w:val="20"/>
                <w:lang w:eastAsia="ko-KR"/>
              </w:rPr>
            </w:pPr>
            <w:r>
              <w:rPr>
                <w:rFonts w:eastAsiaTheme="minorEastAsia" w:cs="SourceSansPro-Regular"/>
                <w:sz w:val="20"/>
                <w:szCs w:val="20"/>
                <w:lang w:eastAsia="ko-KR"/>
              </w:rPr>
              <w:t>The Department advise the OAIC of implementation of each recommendation.</w:t>
            </w:r>
          </w:p>
          <w:p w14:paraId="68E12292" w14:textId="77777777" w:rsidR="00FF43B9" w:rsidRPr="00F351FF" w:rsidRDefault="00FF43B9" w:rsidP="00FF43B9">
            <w:pPr>
              <w:pStyle w:val="ListParagraph"/>
              <w:ind w:left="54"/>
              <w:rPr>
                <w:rFonts w:eastAsiaTheme="minorEastAsia" w:cs="SourceSansPro-Regular"/>
                <w:sz w:val="20"/>
                <w:szCs w:val="20"/>
                <w:lang w:eastAsia="ko-KR"/>
              </w:rPr>
            </w:pPr>
          </w:p>
          <w:p w14:paraId="54F62FBB" w14:textId="51227F5E" w:rsidR="00FF43B9" w:rsidRDefault="00FF43B9" w:rsidP="00FF43B9">
            <w:pPr>
              <w:autoSpaceDE w:val="0"/>
              <w:autoSpaceDN w:val="0"/>
              <w:adjustRightInd w:val="0"/>
              <w:spacing w:after="0" w:line="240" w:lineRule="auto"/>
              <w:ind w:left="360"/>
              <w:rPr>
                <w:rFonts w:eastAsiaTheme="minorEastAsia" w:cs="SourceSansPro-Regular"/>
                <w:sz w:val="20"/>
                <w:szCs w:val="20"/>
                <w:lang w:eastAsia="ko-KR"/>
              </w:rPr>
            </w:pPr>
            <w:r>
              <w:rPr>
                <w:rFonts w:eastAsiaTheme="minorEastAsia" w:cs="SourceSansPro-Regular"/>
                <w:sz w:val="20"/>
                <w:szCs w:val="20"/>
                <w:lang w:eastAsia="ko-KR"/>
              </w:rPr>
              <w:t>Two suggestions were made:</w:t>
            </w:r>
          </w:p>
          <w:p w14:paraId="0391F70C" w14:textId="77777777" w:rsidR="00FF43B9" w:rsidRDefault="00FF43B9" w:rsidP="00FF43B9">
            <w:pPr>
              <w:pStyle w:val="ListParagraph"/>
              <w:numPr>
                <w:ilvl w:val="0"/>
                <w:numId w:val="42"/>
              </w:numPr>
              <w:autoSpaceDE w:val="0"/>
              <w:autoSpaceDN w:val="0"/>
              <w:adjustRightInd w:val="0"/>
              <w:spacing w:after="0" w:line="240" w:lineRule="auto"/>
              <w:ind w:left="720"/>
              <w:rPr>
                <w:rFonts w:eastAsiaTheme="minorEastAsia" w:cs="SourceSansPro-Regular"/>
                <w:sz w:val="20"/>
                <w:szCs w:val="20"/>
                <w:lang w:eastAsia="ko-KR"/>
              </w:rPr>
            </w:pPr>
            <w:r>
              <w:rPr>
                <w:rFonts w:eastAsiaTheme="minorEastAsia" w:cs="SourceSansPro-Regular"/>
                <w:sz w:val="20"/>
                <w:szCs w:val="20"/>
                <w:lang w:eastAsia="ko-KR"/>
              </w:rPr>
              <w:t>The Department use separate email addresses for FOI requests directed to the Department and PMO to avoid potential misdirect.</w:t>
            </w:r>
          </w:p>
          <w:p w14:paraId="11BF403C" w14:textId="77777777" w:rsidR="00FF43B9" w:rsidRDefault="00FF43B9" w:rsidP="00FF43B9">
            <w:pPr>
              <w:pStyle w:val="ListParagraph"/>
              <w:autoSpaceDE w:val="0"/>
              <w:autoSpaceDN w:val="0"/>
              <w:adjustRightInd w:val="0"/>
              <w:spacing w:after="0" w:line="240" w:lineRule="auto"/>
              <w:ind w:left="1386"/>
              <w:rPr>
                <w:rFonts w:eastAsiaTheme="minorEastAsia" w:cs="SourceSansPro-Regular"/>
                <w:sz w:val="20"/>
                <w:szCs w:val="20"/>
                <w:lang w:eastAsia="ko-KR"/>
              </w:rPr>
            </w:pPr>
          </w:p>
          <w:p w14:paraId="710FEC1A" w14:textId="77777777" w:rsidR="00FF43B9" w:rsidRDefault="00FF43B9" w:rsidP="00FF43B9">
            <w:pPr>
              <w:pStyle w:val="ListParagraph"/>
              <w:numPr>
                <w:ilvl w:val="0"/>
                <w:numId w:val="42"/>
              </w:numPr>
              <w:autoSpaceDE w:val="0"/>
              <w:autoSpaceDN w:val="0"/>
              <w:adjustRightInd w:val="0"/>
              <w:spacing w:after="0" w:line="240" w:lineRule="auto"/>
              <w:ind w:left="720"/>
              <w:rPr>
                <w:rFonts w:eastAsiaTheme="minorEastAsia" w:cs="SourceSansPro-Regular"/>
                <w:sz w:val="20"/>
                <w:szCs w:val="20"/>
                <w:lang w:eastAsia="ko-KR"/>
              </w:rPr>
            </w:pPr>
            <w:r>
              <w:rPr>
                <w:rFonts w:eastAsiaTheme="minorEastAsia" w:cs="SourceSansPro-Regular"/>
                <w:sz w:val="20"/>
                <w:szCs w:val="20"/>
                <w:lang w:eastAsia="ko-KR"/>
              </w:rPr>
              <w:t>The Department require applicants to specify (in an online form) whether their FOI request is intended for the Department or PMO to avoid the potential for misdirection.</w:t>
            </w:r>
          </w:p>
          <w:p w14:paraId="3BF1E1E3" w14:textId="07E093C5" w:rsidR="00FF43B9" w:rsidRPr="0074719F" w:rsidRDefault="00FF43B9" w:rsidP="00FF43B9">
            <w:pPr>
              <w:pStyle w:val="ListParagraph"/>
              <w:autoSpaceDE w:val="0"/>
              <w:autoSpaceDN w:val="0"/>
              <w:adjustRightInd w:val="0"/>
              <w:spacing w:after="0" w:line="240" w:lineRule="auto"/>
              <w:ind w:left="1386"/>
              <w:rPr>
                <w:rFonts w:eastAsiaTheme="minorEastAsia" w:cs="SourceSansPro-Regular"/>
                <w:sz w:val="20"/>
                <w:szCs w:val="20"/>
                <w:lang w:eastAsia="ko-KR"/>
              </w:rPr>
            </w:pPr>
          </w:p>
        </w:tc>
        <w:tc>
          <w:tcPr>
            <w:tcW w:w="2127" w:type="dxa"/>
          </w:tcPr>
          <w:p w14:paraId="49738E91" w14:textId="3D2679E4" w:rsidR="00FF43B9" w:rsidRDefault="00FF43B9" w:rsidP="00FF43B9">
            <w:pPr>
              <w:rPr>
                <w:rFonts w:eastAsia="Source Sans Pro"/>
                <w:sz w:val="20"/>
                <w:szCs w:val="20"/>
              </w:rPr>
            </w:pPr>
            <w:r>
              <w:rPr>
                <w:rFonts w:eastAsia="Source Sans Pro"/>
                <w:sz w:val="20"/>
                <w:szCs w:val="20"/>
              </w:rPr>
              <w:lastRenderedPageBreak/>
              <w:t>Acknowledged; Recommendations implemented. Suggestions not implemented. Exploring   implementation of Suggestion 2.</w:t>
            </w:r>
          </w:p>
        </w:tc>
        <w:tc>
          <w:tcPr>
            <w:tcW w:w="1984" w:type="dxa"/>
          </w:tcPr>
          <w:p w14:paraId="713126FE" w14:textId="7BF73221" w:rsidR="00FF43B9" w:rsidRDefault="00FF43B9" w:rsidP="00FF43B9">
            <w:pPr>
              <w:rPr>
                <w:sz w:val="20"/>
                <w:szCs w:val="20"/>
              </w:rPr>
            </w:pPr>
            <w:r>
              <w:rPr>
                <w:sz w:val="20"/>
                <w:szCs w:val="20"/>
              </w:rPr>
              <w:t>No further action to be taken.</w:t>
            </w:r>
          </w:p>
        </w:tc>
      </w:tr>
      <w:tr w:rsidR="00FF43B9" w:rsidRPr="00D94668" w14:paraId="37396D41" w14:textId="77777777" w:rsidTr="0086062E">
        <w:trPr>
          <w:trHeight w:val="1909"/>
        </w:trPr>
        <w:tc>
          <w:tcPr>
            <w:tcW w:w="1888" w:type="dxa"/>
          </w:tcPr>
          <w:p w14:paraId="0096DF13" w14:textId="56AAE5CC" w:rsidR="00FF43B9" w:rsidRPr="009A4DA0" w:rsidRDefault="00FF43B9" w:rsidP="00FF43B9">
            <w:pPr>
              <w:rPr>
                <w:sz w:val="20"/>
                <w:szCs w:val="20"/>
              </w:rPr>
            </w:pPr>
            <w:r w:rsidRPr="009A4DA0">
              <w:rPr>
                <w:sz w:val="20"/>
                <w:szCs w:val="20"/>
              </w:rPr>
              <w:t>Department of Health and Ageing</w:t>
            </w:r>
          </w:p>
        </w:tc>
        <w:tc>
          <w:tcPr>
            <w:tcW w:w="2223" w:type="dxa"/>
          </w:tcPr>
          <w:p w14:paraId="3DB7786B" w14:textId="4F6D40E7" w:rsidR="00FF43B9" w:rsidRDefault="00FF43B9" w:rsidP="00FF43B9">
            <w:pPr>
              <w:rPr>
                <w:sz w:val="20"/>
                <w:szCs w:val="20"/>
              </w:rPr>
            </w:pPr>
            <w:r>
              <w:rPr>
                <w:sz w:val="20"/>
                <w:szCs w:val="20"/>
              </w:rPr>
              <w:t>Whether it is appropriate for the Department to notify a complainant it will consider a FOI request withdrawn if a response to its correspondence is not received within a specified timeframe under s15(5)</w:t>
            </w:r>
          </w:p>
          <w:p w14:paraId="36F89C91" w14:textId="2D5FBE8A" w:rsidR="00FF43B9" w:rsidRPr="009A4DA0" w:rsidRDefault="00FF43B9" w:rsidP="00FF43B9">
            <w:pPr>
              <w:rPr>
                <w:sz w:val="20"/>
                <w:szCs w:val="20"/>
              </w:rPr>
            </w:pPr>
            <w:r>
              <w:rPr>
                <w:sz w:val="20"/>
                <w:szCs w:val="20"/>
              </w:rPr>
              <w:t xml:space="preserve">Whether a 14 day consultation processes in the terms of s24AB of the FOI was appropriate and notification the FOI request would be deemed withdrawn if a response was not received within 2 days </w:t>
            </w:r>
          </w:p>
        </w:tc>
        <w:tc>
          <w:tcPr>
            <w:tcW w:w="1352" w:type="dxa"/>
          </w:tcPr>
          <w:p w14:paraId="7A9B3726" w14:textId="191EF84A" w:rsidR="00FF43B9" w:rsidRPr="00D94668" w:rsidRDefault="00FF43B9" w:rsidP="00FF43B9">
            <w:pPr>
              <w:rPr>
                <w:sz w:val="20"/>
                <w:szCs w:val="20"/>
              </w:rPr>
            </w:pPr>
            <w:r>
              <w:rPr>
                <w:sz w:val="20"/>
                <w:szCs w:val="20"/>
              </w:rPr>
              <w:t>Non-personal</w:t>
            </w:r>
          </w:p>
        </w:tc>
        <w:tc>
          <w:tcPr>
            <w:tcW w:w="1483" w:type="dxa"/>
          </w:tcPr>
          <w:p w14:paraId="2F9F9542" w14:textId="43AA4357" w:rsidR="00FF43B9" w:rsidRPr="00D94668" w:rsidRDefault="00FF43B9" w:rsidP="00FF43B9">
            <w:pPr>
              <w:rPr>
                <w:sz w:val="20"/>
                <w:szCs w:val="20"/>
              </w:rPr>
            </w:pPr>
            <w:r>
              <w:rPr>
                <w:sz w:val="20"/>
                <w:szCs w:val="20"/>
              </w:rPr>
              <w:t>19 May 2023</w:t>
            </w:r>
          </w:p>
        </w:tc>
        <w:tc>
          <w:tcPr>
            <w:tcW w:w="4395" w:type="dxa"/>
          </w:tcPr>
          <w:p w14:paraId="60D19A5C" w14:textId="24EA9936" w:rsidR="00FF43B9" w:rsidRDefault="00FF43B9" w:rsidP="00FF43B9">
            <w:pPr>
              <w:autoSpaceDE w:val="0"/>
              <w:autoSpaceDN w:val="0"/>
              <w:adjustRightInd w:val="0"/>
              <w:spacing w:after="0" w:line="240" w:lineRule="auto"/>
              <w:rPr>
                <w:sz w:val="20"/>
                <w:szCs w:val="20"/>
              </w:rPr>
            </w:pPr>
            <w:r>
              <w:rPr>
                <w:sz w:val="20"/>
                <w:szCs w:val="20"/>
              </w:rPr>
              <w:t>It was inappropriate for the Department to state in correspondence that if the complainant did not reply to its correspondence within 2 days, the complainant’s FOI request would be considered withdrawn.</w:t>
            </w:r>
          </w:p>
          <w:p w14:paraId="641B9688" w14:textId="77777777" w:rsidR="00FF43B9" w:rsidRDefault="00FF43B9" w:rsidP="00FF43B9">
            <w:pPr>
              <w:autoSpaceDE w:val="0"/>
              <w:autoSpaceDN w:val="0"/>
              <w:adjustRightInd w:val="0"/>
              <w:spacing w:after="0" w:line="240" w:lineRule="auto"/>
              <w:rPr>
                <w:sz w:val="20"/>
                <w:szCs w:val="20"/>
              </w:rPr>
            </w:pPr>
          </w:p>
          <w:p w14:paraId="77941152" w14:textId="77777777" w:rsidR="00FF43B9" w:rsidRDefault="00FF43B9" w:rsidP="00FF43B9">
            <w:pPr>
              <w:rPr>
                <w:sz w:val="20"/>
                <w:szCs w:val="20"/>
              </w:rPr>
            </w:pPr>
            <w:r>
              <w:rPr>
                <w:sz w:val="20"/>
                <w:szCs w:val="20"/>
              </w:rPr>
              <w:t>It is contrary to s 15(5) of the FOI Act to treat a request as ‘withdrawn’ if an applicant does not respond to correspondence from the Department within a specified timeframe.</w:t>
            </w:r>
          </w:p>
          <w:p w14:paraId="182DC08C" w14:textId="2C2CE4F1" w:rsidR="00FF43B9" w:rsidRPr="00D94668" w:rsidRDefault="00FF43B9" w:rsidP="00FF43B9">
            <w:pPr>
              <w:rPr>
                <w:sz w:val="20"/>
                <w:szCs w:val="20"/>
              </w:rPr>
            </w:pPr>
            <w:r>
              <w:rPr>
                <w:sz w:val="20"/>
                <w:szCs w:val="20"/>
              </w:rPr>
              <w:t>The Department did not engage in a practical refusal process for likely exempt documents under s24AB and therefore a 14 day consultation period was not required.  In issue was whether it was appropriate for the Department to advise the complainant it would deem the FOI request withdrawn if it did not receive a response within 2 days. For the reasons outlined above, it was inappropriate for the Department to state it would deem the FOI request withdrawn within a specified timeframe.</w:t>
            </w:r>
          </w:p>
        </w:tc>
        <w:tc>
          <w:tcPr>
            <w:tcW w:w="5811" w:type="dxa"/>
          </w:tcPr>
          <w:p w14:paraId="48D9960A" w14:textId="69F5C10F"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r>
              <w:rPr>
                <w:rFonts w:eastAsiaTheme="minorEastAsia" w:cs="SourceSansPro-Regular"/>
                <w:sz w:val="20"/>
                <w:szCs w:val="20"/>
                <w:lang w:eastAsia="ko-KR"/>
              </w:rPr>
              <w:t>Five recommendations were made:</w:t>
            </w:r>
            <w:r w:rsidRPr="0074719F">
              <w:rPr>
                <w:rFonts w:eastAsiaTheme="minorEastAsia" w:cs="SourceSansPro-Regular"/>
                <w:sz w:val="20"/>
                <w:szCs w:val="20"/>
                <w:lang w:eastAsia="ko-KR"/>
              </w:rPr>
              <w:t xml:space="preserve"> </w:t>
            </w:r>
          </w:p>
          <w:p w14:paraId="3B7A453B" w14:textId="0E1FE65B" w:rsidR="00FF43B9" w:rsidRPr="0074719F" w:rsidRDefault="00FF43B9" w:rsidP="00FF43B9">
            <w:pPr>
              <w:autoSpaceDE w:val="0"/>
              <w:autoSpaceDN w:val="0"/>
              <w:adjustRightInd w:val="0"/>
              <w:spacing w:after="0" w:line="240" w:lineRule="auto"/>
              <w:ind w:left="1026"/>
              <w:rPr>
                <w:rFonts w:eastAsiaTheme="minorEastAsia" w:cs="SourceSansPro-Regular"/>
                <w:sz w:val="20"/>
                <w:szCs w:val="20"/>
                <w:lang w:eastAsia="ko-KR"/>
              </w:rPr>
            </w:pPr>
            <w:r>
              <w:rPr>
                <w:rFonts w:eastAsiaTheme="minorEastAsia" w:cs="SourceSansPro-Regular"/>
                <w:sz w:val="20"/>
                <w:szCs w:val="20"/>
                <w:lang w:eastAsia="ko-KR"/>
              </w:rPr>
              <w:t>1.T</w:t>
            </w:r>
            <w:r w:rsidRPr="0074719F">
              <w:rPr>
                <w:rFonts w:eastAsiaTheme="minorEastAsia" w:cs="SourceSansPro-Regular"/>
                <w:sz w:val="20"/>
                <w:szCs w:val="20"/>
                <w:lang w:eastAsia="ko-KR"/>
              </w:rPr>
              <w:t>he Department issue a statement to staff engaged in processing FOI</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requests highlighting the Department’s obligation under the FOI Act to process</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requests that comply with the formal requirements prescribed by ss 15(2) and (2A) and</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that, other than in the circumstances prescribed by s 24AB(7), an FOI request cannot</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be proactively taken by the Department to have been withdrawn</w:t>
            </w:r>
            <w:r>
              <w:rPr>
                <w:rFonts w:eastAsiaTheme="minorEastAsia" w:cs="SourceSansPro-Regular"/>
                <w:sz w:val="20"/>
                <w:szCs w:val="20"/>
                <w:lang w:eastAsia="ko-KR"/>
              </w:rPr>
              <w:t>.</w:t>
            </w:r>
          </w:p>
          <w:p w14:paraId="5CBEC532" w14:textId="77777777"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p>
          <w:p w14:paraId="19FCE593" w14:textId="33F7DA95"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r>
              <w:rPr>
                <w:rFonts w:eastAsiaTheme="minorEastAsia" w:cs="SourceSansPro-Regular"/>
                <w:sz w:val="20"/>
                <w:szCs w:val="20"/>
                <w:lang w:eastAsia="ko-KR"/>
              </w:rPr>
              <w:t>2</w:t>
            </w:r>
            <w:r w:rsidRPr="0074719F">
              <w:rPr>
                <w:rFonts w:eastAsiaTheme="minorEastAsia" w:cs="SourceSansPro-Regular"/>
                <w:sz w:val="20"/>
                <w:szCs w:val="20"/>
                <w:lang w:eastAsia="ko-KR"/>
              </w:rPr>
              <w:t xml:space="preserve">. </w:t>
            </w:r>
            <w:r>
              <w:rPr>
                <w:rFonts w:eastAsiaTheme="minorEastAsia" w:cs="SourceSansPro-Regular"/>
                <w:sz w:val="20"/>
                <w:szCs w:val="20"/>
                <w:lang w:eastAsia="ko-KR"/>
              </w:rPr>
              <w:t>T</w:t>
            </w:r>
            <w:r w:rsidRPr="0074719F">
              <w:rPr>
                <w:rFonts w:eastAsiaTheme="minorEastAsia" w:cs="SourceSansPro-Regular"/>
                <w:sz w:val="20"/>
                <w:szCs w:val="20"/>
                <w:lang w:eastAsia="ko-KR"/>
              </w:rPr>
              <w:t>he Department provide general training to its staff engaged in</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processing FOI requests with a particular focus on the obligation to process FOI</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requests and the limited circumstances in which a FOI request is, under the FOI Act,</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taken to have been withdrawn</w:t>
            </w:r>
            <w:r>
              <w:rPr>
                <w:rFonts w:eastAsiaTheme="minorEastAsia" w:cs="SourceSansPro-Regular"/>
                <w:sz w:val="20"/>
                <w:szCs w:val="20"/>
                <w:lang w:eastAsia="ko-KR"/>
              </w:rPr>
              <w:t>.</w:t>
            </w:r>
          </w:p>
          <w:p w14:paraId="15FFEEE1" w14:textId="77777777" w:rsidR="00FF43B9" w:rsidRPr="0074719F" w:rsidRDefault="00FF43B9" w:rsidP="00FF43B9">
            <w:pPr>
              <w:autoSpaceDE w:val="0"/>
              <w:autoSpaceDN w:val="0"/>
              <w:adjustRightInd w:val="0"/>
              <w:spacing w:after="0" w:line="240" w:lineRule="auto"/>
              <w:ind w:left="1026"/>
              <w:rPr>
                <w:rFonts w:eastAsiaTheme="minorEastAsia" w:cs="SourceSansPro-Regular"/>
                <w:sz w:val="20"/>
                <w:szCs w:val="20"/>
                <w:lang w:eastAsia="ko-KR"/>
              </w:rPr>
            </w:pPr>
          </w:p>
          <w:p w14:paraId="167BE33D" w14:textId="5C073791" w:rsidR="00FF43B9" w:rsidRPr="0074719F" w:rsidRDefault="00FF43B9" w:rsidP="00FF43B9">
            <w:pPr>
              <w:autoSpaceDE w:val="0"/>
              <w:autoSpaceDN w:val="0"/>
              <w:adjustRightInd w:val="0"/>
              <w:spacing w:after="0" w:line="240" w:lineRule="auto"/>
              <w:ind w:left="1026"/>
              <w:rPr>
                <w:rFonts w:eastAsiaTheme="minorEastAsia" w:cs="SourceSansPro-Regular"/>
                <w:sz w:val="20"/>
                <w:szCs w:val="20"/>
                <w:lang w:eastAsia="ko-KR"/>
              </w:rPr>
            </w:pPr>
            <w:r>
              <w:rPr>
                <w:rFonts w:eastAsiaTheme="minorEastAsia" w:cs="SourceSansPro-Regular"/>
                <w:sz w:val="20"/>
                <w:szCs w:val="20"/>
                <w:lang w:eastAsia="ko-KR"/>
              </w:rPr>
              <w:t>3</w:t>
            </w:r>
            <w:r w:rsidRPr="0074719F">
              <w:rPr>
                <w:rFonts w:eastAsiaTheme="minorEastAsia" w:cs="SourceSansPro-Regular"/>
                <w:sz w:val="20"/>
                <w:szCs w:val="20"/>
                <w:lang w:eastAsia="ko-KR"/>
              </w:rPr>
              <w:t xml:space="preserve">. </w:t>
            </w:r>
            <w:r>
              <w:rPr>
                <w:rFonts w:eastAsiaTheme="minorEastAsia" w:cs="SourceSansPro-Regular"/>
                <w:sz w:val="20"/>
                <w:szCs w:val="20"/>
                <w:lang w:eastAsia="ko-KR"/>
              </w:rPr>
              <w:t>T</w:t>
            </w:r>
            <w:r w:rsidRPr="0074719F">
              <w:rPr>
                <w:rFonts w:eastAsiaTheme="minorEastAsia" w:cs="SourceSansPro-Regular"/>
                <w:sz w:val="20"/>
                <w:szCs w:val="20"/>
                <w:lang w:eastAsia="ko-KR"/>
              </w:rPr>
              <w:t>he Department update its policies, training manuals and/or guidance</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material as appropriate</w:t>
            </w:r>
            <w:r>
              <w:rPr>
                <w:rFonts w:eastAsiaTheme="minorEastAsia" w:cs="SourceSansPro-Regular"/>
                <w:sz w:val="20"/>
                <w:szCs w:val="20"/>
                <w:lang w:eastAsia="ko-KR"/>
              </w:rPr>
              <w:t>.</w:t>
            </w:r>
          </w:p>
          <w:p w14:paraId="29C9692A" w14:textId="77777777"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p>
          <w:p w14:paraId="1BED0F27" w14:textId="63877999"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r>
              <w:rPr>
                <w:rFonts w:eastAsiaTheme="minorEastAsia" w:cs="SourceSansPro-Regular"/>
                <w:sz w:val="20"/>
                <w:szCs w:val="20"/>
                <w:lang w:eastAsia="ko-KR"/>
              </w:rPr>
              <w:t>4.</w:t>
            </w:r>
            <w:r w:rsidRPr="0074719F">
              <w:rPr>
                <w:rFonts w:eastAsiaTheme="minorEastAsia" w:cs="SourceSansPro-Regular"/>
                <w:sz w:val="20"/>
                <w:szCs w:val="20"/>
                <w:lang w:eastAsia="ko-KR"/>
              </w:rPr>
              <w:t xml:space="preserve"> </w:t>
            </w:r>
            <w:r>
              <w:rPr>
                <w:rFonts w:eastAsiaTheme="minorEastAsia" w:cs="SourceSansPro-Regular"/>
                <w:sz w:val="20"/>
                <w:szCs w:val="20"/>
                <w:lang w:eastAsia="ko-KR"/>
              </w:rPr>
              <w:t>Th</w:t>
            </w:r>
            <w:r w:rsidRPr="0074719F">
              <w:rPr>
                <w:rFonts w:eastAsiaTheme="minorEastAsia" w:cs="SourceSansPro-Regular"/>
                <w:sz w:val="20"/>
                <w:szCs w:val="20"/>
                <w:lang w:eastAsia="ko-KR"/>
              </w:rPr>
              <w:t>e Department undertake an audit of the processing of FOI requests</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received in the 6 month period following the implementation of the above</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 xml:space="preserve">recommendations to ascertain </w:t>
            </w:r>
            <w:r>
              <w:rPr>
                <w:rFonts w:eastAsiaTheme="minorEastAsia" w:cs="SourceSansPro-Regular"/>
                <w:sz w:val="20"/>
                <w:szCs w:val="20"/>
                <w:lang w:eastAsia="ko-KR"/>
              </w:rPr>
              <w:t xml:space="preserve">if there have been any other </w:t>
            </w:r>
            <w:r w:rsidRPr="0074719F">
              <w:rPr>
                <w:rFonts w:eastAsiaTheme="minorEastAsia" w:cs="SourceSansPro-Regular"/>
                <w:sz w:val="20"/>
                <w:szCs w:val="20"/>
                <w:lang w:eastAsia="ko-KR"/>
              </w:rPr>
              <w:t>instances of an</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 xml:space="preserve">applicant being told that their FOI request would be taken to </w:t>
            </w:r>
            <w:r>
              <w:rPr>
                <w:rFonts w:eastAsiaTheme="minorEastAsia" w:cs="SourceSansPro-Regular"/>
                <w:sz w:val="20"/>
                <w:szCs w:val="20"/>
                <w:lang w:eastAsia="ko-KR"/>
              </w:rPr>
              <w:t xml:space="preserve">be withdrawn if a response to its correspondence is not received </w:t>
            </w:r>
            <w:r w:rsidRPr="0074719F">
              <w:rPr>
                <w:rFonts w:eastAsiaTheme="minorEastAsia" w:cs="SourceSansPro-Regular"/>
                <w:sz w:val="20"/>
                <w:szCs w:val="20"/>
                <w:lang w:eastAsia="ko-KR"/>
              </w:rPr>
              <w:t>within a</w:t>
            </w:r>
            <w:r>
              <w:rPr>
                <w:rFonts w:eastAsiaTheme="minorEastAsia" w:cs="SourceSansPro-Regular"/>
                <w:sz w:val="20"/>
                <w:szCs w:val="20"/>
                <w:lang w:eastAsia="ko-KR"/>
              </w:rPr>
              <w:t xml:space="preserve"> </w:t>
            </w:r>
            <w:r w:rsidRPr="0074719F">
              <w:rPr>
                <w:rFonts w:eastAsiaTheme="minorEastAsia" w:cs="SourceSansPro-Regular"/>
                <w:sz w:val="20"/>
                <w:szCs w:val="20"/>
                <w:lang w:eastAsia="ko-KR"/>
              </w:rPr>
              <w:t>specified timeframe</w:t>
            </w:r>
            <w:r>
              <w:rPr>
                <w:rFonts w:eastAsiaTheme="minorEastAsia" w:cs="SourceSansPro-Regular"/>
                <w:sz w:val="20"/>
                <w:szCs w:val="20"/>
                <w:lang w:eastAsia="ko-KR"/>
              </w:rPr>
              <w:t>.</w:t>
            </w:r>
          </w:p>
          <w:p w14:paraId="41C3BCB6" w14:textId="77777777" w:rsidR="00FF43B9" w:rsidRDefault="00FF43B9" w:rsidP="00FF43B9">
            <w:pPr>
              <w:autoSpaceDE w:val="0"/>
              <w:autoSpaceDN w:val="0"/>
              <w:adjustRightInd w:val="0"/>
              <w:spacing w:after="0" w:line="240" w:lineRule="auto"/>
              <w:ind w:left="1026"/>
              <w:rPr>
                <w:rFonts w:eastAsiaTheme="minorEastAsia" w:cs="SourceSansPro-Regular"/>
                <w:sz w:val="20"/>
                <w:szCs w:val="20"/>
                <w:lang w:eastAsia="ko-KR"/>
              </w:rPr>
            </w:pPr>
          </w:p>
          <w:p w14:paraId="2E407DD9" w14:textId="748422CF" w:rsidR="00FF43B9" w:rsidRPr="00D94668" w:rsidRDefault="00FF43B9" w:rsidP="00FF43B9">
            <w:pPr>
              <w:autoSpaceDE w:val="0"/>
              <w:autoSpaceDN w:val="0"/>
              <w:adjustRightInd w:val="0"/>
              <w:spacing w:after="0" w:line="240" w:lineRule="auto"/>
              <w:ind w:left="1026"/>
              <w:rPr>
                <w:sz w:val="20"/>
                <w:szCs w:val="20"/>
              </w:rPr>
            </w:pPr>
            <w:r>
              <w:rPr>
                <w:rFonts w:eastAsiaTheme="minorEastAsia" w:cs="SourceSansPro-Regular"/>
                <w:sz w:val="20"/>
                <w:szCs w:val="20"/>
                <w:lang w:eastAsia="ko-KR"/>
              </w:rPr>
              <w:t>5. T</w:t>
            </w:r>
            <w:r w:rsidRPr="0074719F">
              <w:rPr>
                <w:rFonts w:eastAsiaTheme="minorEastAsia" w:cs="SourceSansPro-Regular"/>
                <w:sz w:val="20"/>
                <w:szCs w:val="20"/>
                <w:lang w:eastAsia="ko-KR"/>
              </w:rPr>
              <w:t>he Department report the</w:t>
            </w:r>
            <w:r>
              <w:rPr>
                <w:rFonts w:eastAsiaTheme="minorEastAsia" w:cs="SourceSansPro-Regular"/>
                <w:sz w:val="20"/>
                <w:szCs w:val="20"/>
                <w:lang w:eastAsia="ko-KR"/>
              </w:rPr>
              <w:t xml:space="preserve"> audit </w:t>
            </w:r>
            <w:r w:rsidRPr="0074719F">
              <w:rPr>
                <w:rFonts w:eastAsiaTheme="minorEastAsia" w:cs="SourceSansPro-Regular"/>
                <w:sz w:val="20"/>
                <w:szCs w:val="20"/>
                <w:lang w:eastAsia="ko-KR"/>
              </w:rPr>
              <w:t>results to the OAIC.</w:t>
            </w:r>
          </w:p>
        </w:tc>
        <w:tc>
          <w:tcPr>
            <w:tcW w:w="2127" w:type="dxa"/>
          </w:tcPr>
          <w:p w14:paraId="7B28B024" w14:textId="7D6805F0" w:rsidR="00FF43B9" w:rsidRDefault="00FF43B9" w:rsidP="00FF43B9">
            <w:pPr>
              <w:rPr>
                <w:sz w:val="20"/>
                <w:szCs w:val="20"/>
              </w:rPr>
            </w:pPr>
            <w:r>
              <w:rPr>
                <w:rFonts w:eastAsia="Source Sans Pro"/>
                <w:sz w:val="20"/>
                <w:szCs w:val="20"/>
              </w:rPr>
              <w:t>Recommendations implemented.</w:t>
            </w:r>
          </w:p>
        </w:tc>
        <w:tc>
          <w:tcPr>
            <w:tcW w:w="1984" w:type="dxa"/>
          </w:tcPr>
          <w:p w14:paraId="62FA4BC3" w14:textId="13AC121E" w:rsidR="00FF43B9" w:rsidRDefault="00FF43B9" w:rsidP="00FF43B9">
            <w:pPr>
              <w:rPr>
                <w:sz w:val="20"/>
                <w:szCs w:val="20"/>
              </w:rPr>
            </w:pPr>
            <w:r>
              <w:rPr>
                <w:sz w:val="20"/>
                <w:szCs w:val="20"/>
              </w:rPr>
              <w:t xml:space="preserve">No further action to be taken. </w:t>
            </w:r>
          </w:p>
        </w:tc>
      </w:tr>
      <w:tr w:rsidR="00FF43B9" w:rsidRPr="00D94668" w14:paraId="71D6B321" w14:textId="77777777" w:rsidTr="0086062E">
        <w:trPr>
          <w:trHeight w:val="775"/>
        </w:trPr>
        <w:tc>
          <w:tcPr>
            <w:tcW w:w="1888" w:type="dxa"/>
          </w:tcPr>
          <w:p w14:paraId="701F7EBA" w14:textId="37872B72" w:rsidR="00FF43B9" w:rsidRPr="00F004A1" w:rsidRDefault="00FF43B9" w:rsidP="00FF43B9">
            <w:pPr>
              <w:rPr>
                <w:sz w:val="20"/>
                <w:szCs w:val="20"/>
              </w:rPr>
            </w:pPr>
            <w:bookmarkStart w:id="8" w:name="_Hlk165567049"/>
            <w:r w:rsidRPr="00F004A1">
              <w:rPr>
                <w:sz w:val="20"/>
                <w:szCs w:val="20"/>
              </w:rPr>
              <w:lastRenderedPageBreak/>
              <w:t>Department of Home Affairs</w:t>
            </w:r>
          </w:p>
        </w:tc>
        <w:tc>
          <w:tcPr>
            <w:tcW w:w="2223" w:type="dxa"/>
          </w:tcPr>
          <w:p w14:paraId="3B565A7D" w14:textId="06ABBCE8" w:rsidR="00FF43B9" w:rsidRDefault="00FF43B9" w:rsidP="00FF43B9">
            <w:pPr>
              <w:pStyle w:val="CommentText"/>
            </w:pPr>
            <w:r>
              <w:t>Whether the Department failed to assist the complainant to revise an FOI request under s 24AB(3) in relation to a practical refusal request consultation process</w:t>
            </w:r>
          </w:p>
          <w:p w14:paraId="034D9DAF" w14:textId="00BDA691" w:rsidR="00FF43B9" w:rsidRPr="00610722" w:rsidRDefault="00FF43B9" w:rsidP="00FF43B9">
            <w:pPr>
              <w:rPr>
                <w:sz w:val="20"/>
                <w:szCs w:val="20"/>
              </w:rPr>
            </w:pPr>
            <w:r w:rsidRPr="00610722">
              <w:rPr>
                <w:sz w:val="20"/>
                <w:szCs w:val="20"/>
              </w:rPr>
              <w:t>Whether the Department acted consistent with the objects of the FOI Act</w:t>
            </w:r>
          </w:p>
        </w:tc>
        <w:tc>
          <w:tcPr>
            <w:tcW w:w="1352" w:type="dxa"/>
          </w:tcPr>
          <w:p w14:paraId="53A6FCA5" w14:textId="240C4725" w:rsidR="00FF43B9" w:rsidRPr="00D94668" w:rsidRDefault="00FF43B9" w:rsidP="00FF43B9">
            <w:pPr>
              <w:rPr>
                <w:sz w:val="20"/>
                <w:szCs w:val="20"/>
              </w:rPr>
            </w:pPr>
            <w:r>
              <w:rPr>
                <w:sz w:val="20"/>
                <w:szCs w:val="20"/>
              </w:rPr>
              <w:t>Personal</w:t>
            </w:r>
          </w:p>
        </w:tc>
        <w:tc>
          <w:tcPr>
            <w:tcW w:w="1483" w:type="dxa"/>
          </w:tcPr>
          <w:p w14:paraId="48371704" w14:textId="791B5DFE" w:rsidR="00FF43B9" w:rsidRPr="00D94668" w:rsidRDefault="00FF43B9" w:rsidP="00FF43B9">
            <w:pPr>
              <w:rPr>
                <w:sz w:val="20"/>
                <w:szCs w:val="20"/>
              </w:rPr>
            </w:pPr>
            <w:r>
              <w:rPr>
                <w:sz w:val="20"/>
                <w:szCs w:val="20"/>
              </w:rPr>
              <w:t>3 May 2023</w:t>
            </w:r>
          </w:p>
        </w:tc>
        <w:tc>
          <w:tcPr>
            <w:tcW w:w="4395" w:type="dxa"/>
          </w:tcPr>
          <w:p w14:paraId="047AD377" w14:textId="2A16D9F1" w:rsidR="00FF43B9" w:rsidRPr="00D94668" w:rsidRDefault="00FF43B9" w:rsidP="00FF43B9">
            <w:pPr>
              <w:rPr>
                <w:sz w:val="20"/>
                <w:szCs w:val="20"/>
              </w:rPr>
            </w:pPr>
            <w:r>
              <w:rPr>
                <w:sz w:val="20"/>
                <w:szCs w:val="20"/>
              </w:rPr>
              <w:t>At the time of processing the complainant’s FOI request, the Department failed to fulfil its duties under s 24AB(3). More particularly, the Department through its contact officer failed to take reasonable steps to assist the complainant to revise their FOI request so that the practical refusal reason which the Department said existed ceased to exist. This failure was inconsistent with the objects of the FOI Act, particularly the object in s 3(4) to facilitate and promote public access to information promptly and at the lowest reasonable cost. The Department could have avoided this failure and better promoted the object of the Act had it adequately taken into account, and acted consistently with, the Guidelines issued under s 93A of the FOI Act (particularly paragraphs 3.131 and 3.133).</w:t>
            </w:r>
          </w:p>
        </w:tc>
        <w:tc>
          <w:tcPr>
            <w:tcW w:w="5811" w:type="dxa"/>
          </w:tcPr>
          <w:p w14:paraId="146455FE" w14:textId="75771596" w:rsidR="00FF43B9" w:rsidRDefault="00FF43B9" w:rsidP="00FF43B9">
            <w:pPr>
              <w:pStyle w:val="ListParagraph"/>
              <w:spacing w:after="0"/>
              <w:ind w:left="1080"/>
              <w:rPr>
                <w:sz w:val="20"/>
                <w:szCs w:val="20"/>
              </w:rPr>
            </w:pPr>
            <w:r>
              <w:rPr>
                <w:sz w:val="20"/>
                <w:szCs w:val="20"/>
              </w:rPr>
              <w:t>Four recommendations were made:</w:t>
            </w:r>
          </w:p>
          <w:p w14:paraId="72E8C057" w14:textId="5F106E4D" w:rsidR="00FF43B9" w:rsidRDefault="00FF43B9" w:rsidP="00FF43B9">
            <w:pPr>
              <w:pStyle w:val="ListParagraph"/>
              <w:spacing w:after="0"/>
              <w:ind w:left="1080"/>
              <w:rPr>
                <w:sz w:val="20"/>
                <w:szCs w:val="20"/>
              </w:rPr>
            </w:pPr>
            <w:r>
              <w:rPr>
                <w:sz w:val="20"/>
                <w:szCs w:val="20"/>
              </w:rPr>
              <w:t>1. T</w:t>
            </w:r>
            <w:r w:rsidRPr="00E439B6">
              <w:rPr>
                <w:sz w:val="20"/>
                <w:szCs w:val="20"/>
              </w:rPr>
              <w:t xml:space="preserve">he Department prepare and promulgate formal guidance for staff about the conduct of the request consultation process. The guidance should reflect the requirements of s 24AB of the FOI Act including the duty imposed by s 24AB(3). The guidance should also reflect the FOI Guidelines and promote direct contact (that is, contact in person, by telephone or by web-based meeting rather than by email or other writing) with FOI applicants, particularly where that contact is requested by the applicant or where the circumstances of the particular matter suggest that the statutory purpose of the consultation process will be better achieved by such contact. </w:t>
            </w:r>
          </w:p>
          <w:p w14:paraId="6627C3BD" w14:textId="77777777" w:rsidR="00FF43B9" w:rsidRPr="00E439B6" w:rsidRDefault="00FF43B9" w:rsidP="00FF43B9">
            <w:pPr>
              <w:pStyle w:val="ListParagraph"/>
              <w:spacing w:after="0"/>
              <w:ind w:left="1080"/>
              <w:rPr>
                <w:sz w:val="20"/>
                <w:szCs w:val="20"/>
              </w:rPr>
            </w:pPr>
          </w:p>
          <w:p w14:paraId="1E8D0680" w14:textId="58EDAC65" w:rsidR="00FF43B9" w:rsidRPr="00E439B6" w:rsidRDefault="00FF43B9" w:rsidP="00FF43B9">
            <w:pPr>
              <w:pStyle w:val="ListParagraph"/>
              <w:spacing w:after="0"/>
              <w:ind w:left="1080"/>
              <w:rPr>
                <w:sz w:val="20"/>
                <w:szCs w:val="20"/>
              </w:rPr>
            </w:pPr>
            <w:r>
              <w:rPr>
                <w:sz w:val="20"/>
                <w:szCs w:val="20"/>
              </w:rPr>
              <w:t>2. T</w:t>
            </w:r>
            <w:r w:rsidRPr="00E439B6">
              <w:rPr>
                <w:sz w:val="20"/>
                <w:szCs w:val="20"/>
              </w:rPr>
              <w:t xml:space="preserve">he Department ensure that all relevant staff have received training in relation to the formal guidance referred to in recommendation </w:t>
            </w:r>
            <w:r>
              <w:rPr>
                <w:sz w:val="20"/>
                <w:szCs w:val="20"/>
              </w:rPr>
              <w:t>1</w:t>
            </w:r>
            <w:r w:rsidRPr="00E439B6">
              <w:rPr>
                <w:sz w:val="20"/>
                <w:szCs w:val="20"/>
              </w:rPr>
              <w:t xml:space="preserve">. </w:t>
            </w:r>
          </w:p>
          <w:p w14:paraId="233F1200" w14:textId="77777777" w:rsidR="00FF43B9" w:rsidRDefault="00FF43B9" w:rsidP="00FF43B9">
            <w:pPr>
              <w:pStyle w:val="ListParagraph"/>
              <w:spacing w:after="0"/>
              <w:ind w:left="1080"/>
              <w:rPr>
                <w:sz w:val="20"/>
                <w:szCs w:val="20"/>
              </w:rPr>
            </w:pPr>
          </w:p>
          <w:p w14:paraId="45A25800" w14:textId="450E61F9" w:rsidR="00FF43B9" w:rsidRPr="00E439B6" w:rsidRDefault="00FF43B9" w:rsidP="00FF43B9">
            <w:pPr>
              <w:pStyle w:val="ListParagraph"/>
              <w:spacing w:after="0"/>
              <w:ind w:left="1080"/>
              <w:rPr>
                <w:sz w:val="20"/>
                <w:szCs w:val="20"/>
              </w:rPr>
            </w:pPr>
            <w:r>
              <w:rPr>
                <w:sz w:val="20"/>
                <w:szCs w:val="20"/>
              </w:rPr>
              <w:t>3. T</w:t>
            </w:r>
            <w:r w:rsidRPr="00E439B6">
              <w:rPr>
                <w:sz w:val="20"/>
                <w:szCs w:val="20"/>
              </w:rPr>
              <w:t xml:space="preserve">he Department undertake an audit of all request consultation processes conducted in the period commencing on the date of this notice and ending 6 months (2 November 2023) after that date. The audit should assess whether the Department has, throughout that period, maintained practices which are consistent with the formal guidance referred to in recommendation </w:t>
            </w:r>
            <w:r>
              <w:rPr>
                <w:sz w:val="20"/>
                <w:szCs w:val="20"/>
              </w:rPr>
              <w:t>1</w:t>
            </w:r>
            <w:r w:rsidRPr="00E439B6">
              <w:rPr>
                <w:sz w:val="20"/>
                <w:szCs w:val="20"/>
              </w:rPr>
              <w:t xml:space="preserve">. </w:t>
            </w:r>
          </w:p>
          <w:p w14:paraId="0016D537" w14:textId="77777777" w:rsidR="00FF43B9" w:rsidRDefault="00FF43B9" w:rsidP="00FF43B9">
            <w:pPr>
              <w:pStyle w:val="ListParagraph"/>
              <w:ind w:left="1080"/>
              <w:rPr>
                <w:sz w:val="20"/>
                <w:szCs w:val="20"/>
              </w:rPr>
            </w:pPr>
          </w:p>
          <w:p w14:paraId="770F3BFE" w14:textId="74BDA5E3" w:rsidR="00FF43B9" w:rsidRPr="00D94668" w:rsidRDefault="00FF43B9" w:rsidP="00FF43B9">
            <w:pPr>
              <w:pStyle w:val="ListParagraph"/>
              <w:ind w:left="1080"/>
              <w:rPr>
                <w:sz w:val="20"/>
                <w:szCs w:val="20"/>
              </w:rPr>
            </w:pPr>
            <w:r>
              <w:rPr>
                <w:sz w:val="20"/>
                <w:szCs w:val="20"/>
              </w:rPr>
              <w:t>4</w:t>
            </w:r>
            <w:r w:rsidRPr="00E439B6">
              <w:rPr>
                <w:sz w:val="20"/>
                <w:szCs w:val="20"/>
              </w:rPr>
              <w:t xml:space="preserve">. The Department report the results of the audit referred to in recommendation </w:t>
            </w:r>
            <w:r>
              <w:rPr>
                <w:sz w:val="20"/>
                <w:szCs w:val="20"/>
              </w:rPr>
              <w:t>3</w:t>
            </w:r>
            <w:r w:rsidRPr="00E439B6">
              <w:rPr>
                <w:sz w:val="20"/>
                <w:szCs w:val="20"/>
              </w:rPr>
              <w:t xml:space="preserve"> to the OAIC as soon as practicable after its completion and no later than 2 weeks after the audit report has been completed, even if the report has not been considered by the Department’s Audit Committee at that time. </w:t>
            </w:r>
          </w:p>
        </w:tc>
        <w:tc>
          <w:tcPr>
            <w:tcW w:w="2127" w:type="dxa"/>
          </w:tcPr>
          <w:p w14:paraId="1E7D6F38" w14:textId="7C33A652" w:rsidR="00FF43B9" w:rsidRDefault="00FF43B9" w:rsidP="00FF43B9">
            <w:pPr>
              <w:rPr>
                <w:sz w:val="20"/>
                <w:szCs w:val="20"/>
              </w:rPr>
            </w:pPr>
            <w:r>
              <w:rPr>
                <w:rFonts w:eastAsia="Source Sans Pro"/>
                <w:sz w:val="20"/>
                <w:szCs w:val="20"/>
              </w:rPr>
              <w:t xml:space="preserve">Recommendations 1 and 2 implemented. Recommendations 3 and 4 noted by Department. </w:t>
            </w:r>
          </w:p>
        </w:tc>
        <w:tc>
          <w:tcPr>
            <w:tcW w:w="1984" w:type="dxa"/>
          </w:tcPr>
          <w:p w14:paraId="4D207935" w14:textId="24E6C4E5" w:rsidR="00FF43B9" w:rsidRDefault="00FF43B9" w:rsidP="00FF43B9">
            <w:pPr>
              <w:rPr>
                <w:sz w:val="20"/>
                <w:szCs w:val="20"/>
              </w:rPr>
            </w:pPr>
            <w:r>
              <w:rPr>
                <w:sz w:val="20"/>
                <w:szCs w:val="20"/>
              </w:rPr>
              <w:t xml:space="preserve">No further action to be taken </w:t>
            </w:r>
          </w:p>
        </w:tc>
      </w:tr>
      <w:bookmarkEnd w:id="8"/>
      <w:tr w:rsidR="00FF43B9" w:rsidRPr="00D94668" w14:paraId="113BC402" w14:textId="77777777" w:rsidTr="0086062E">
        <w:trPr>
          <w:trHeight w:val="2418"/>
        </w:trPr>
        <w:tc>
          <w:tcPr>
            <w:tcW w:w="1888" w:type="dxa"/>
          </w:tcPr>
          <w:p w14:paraId="50A62204" w14:textId="16F8A3F7" w:rsidR="00FF43B9" w:rsidRPr="00227400" w:rsidRDefault="00FF43B9" w:rsidP="00FF43B9">
            <w:pPr>
              <w:rPr>
                <w:sz w:val="20"/>
                <w:szCs w:val="20"/>
              </w:rPr>
            </w:pPr>
            <w:r w:rsidRPr="00227400">
              <w:rPr>
                <w:sz w:val="20"/>
                <w:szCs w:val="20"/>
              </w:rPr>
              <w:t>Department of Veterans’ Affairs</w:t>
            </w:r>
          </w:p>
        </w:tc>
        <w:tc>
          <w:tcPr>
            <w:tcW w:w="2223" w:type="dxa"/>
          </w:tcPr>
          <w:p w14:paraId="47D57991" w14:textId="4FE59165" w:rsidR="00FF43B9" w:rsidRPr="0044243B" w:rsidRDefault="00FF43B9" w:rsidP="00FF43B9">
            <w:pPr>
              <w:pStyle w:val="CommentText"/>
            </w:pPr>
            <w:r w:rsidRPr="0044243B">
              <w:t xml:space="preserve">Whether a notice of decision under s 26 of the FOI Act should include the signature, name and position of the person who has made the decision </w:t>
            </w:r>
          </w:p>
          <w:p w14:paraId="63A582EB" w14:textId="3507A124" w:rsidR="00FF43B9" w:rsidRPr="0044243B" w:rsidRDefault="00FF43B9" w:rsidP="00FF43B9">
            <w:pPr>
              <w:pStyle w:val="CommentText"/>
            </w:pPr>
            <w:r>
              <w:lastRenderedPageBreak/>
              <w:t>Compliance with Disclosure log obligations</w:t>
            </w:r>
          </w:p>
          <w:p w14:paraId="1073D9CF" w14:textId="77777777" w:rsidR="00FF43B9" w:rsidRPr="00D94668" w:rsidRDefault="00FF43B9" w:rsidP="00FF43B9">
            <w:pPr>
              <w:rPr>
                <w:sz w:val="20"/>
                <w:szCs w:val="20"/>
              </w:rPr>
            </w:pPr>
          </w:p>
        </w:tc>
        <w:tc>
          <w:tcPr>
            <w:tcW w:w="1352" w:type="dxa"/>
          </w:tcPr>
          <w:p w14:paraId="47779252" w14:textId="01687957" w:rsidR="00FF43B9" w:rsidRPr="00D94668" w:rsidRDefault="00FF43B9" w:rsidP="00FF43B9">
            <w:pPr>
              <w:rPr>
                <w:sz w:val="20"/>
                <w:szCs w:val="20"/>
              </w:rPr>
            </w:pPr>
            <w:r>
              <w:rPr>
                <w:sz w:val="20"/>
                <w:szCs w:val="20"/>
              </w:rPr>
              <w:lastRenderedPageBreak/>
              <w:t>Non-personal</w:t>
            </w:r>
          </w:p>
        </w:tc>
        <w:tc>
          <w:tcPr>
            <w:tcW w:w="1483" w:type="dxa"/>
          </w:tcPr>
          <w:p w14:paraId="51352F80" w14:textId="782A6358" w:rsidR="00FF43B9" w:rsidRPr="00D94668" w:rsidRDefault="00FF43B9" w:rsidP="00FF43B9">
            <w:pPr>
              <w:rPr>
                <w:sz w:val="20"/>
                <w:szCs w:val="20"/>
              </w:rPr>
            </w:pPr>
            <w:r>
              <w:rPr>
                <w:sz w:val="20"/>
                <w:szCs w:val="20"/>
              </w:rPr>
              <w:t>22 June 2022</w:t>
            </w:r>
          </w:p>
        </w:tc>
        <w:tc>
          <w:tcPr>
            <w:tcW w:w="4395" w:type="dxa"/>
          </w:tcPr>
          <w:p w14:paraId="3483551D" w14:textId="77777777" w:rsidR="00FF43B9" w:rsidRDefault="00FF43B9" w:rsidP="00FF43B9">
            <w:pPr>
              <w:autoSpaceDE w:val="0"/>
              <w:autoSpaceDN w:val="0"/>
              <w:adjustRightInd w:val="0"/>
              <w:spacing w:after="0" w:line="240" w:lineRule="auto"/>
              <w:rPr>
                <w:sz w:val="20"/>
                <w:szCs w:val="20"/>
              </w:rPr>
            </w:pPr>
            <w:r>
              <w:rPr>
                <w:sz w:val="20"/>
                <w:szCs w:val="20"/>
              </w:rPr>
              <w:t>T</w:t>
            </w:r>
            <w:r w:rsidRPr="00F867AE">
              <w:rPr>
                <w:sz w:val="20"/>
                <w:szCs w:val="20"/>
              </w:rPr>
              <w:t xml:space="preserve">here was a period of time during which the Department was clearly non-compliant with the requirements of s 26(1)(b) of the FOI Act. </w:t>
            </w:r>
          </w:p>
          <w:p w14:paraId="2D651134" w14:textId="77777777" w:rsidR="00FF43B9" w:rsidRDefault="00FF43B9" w:rsidP="00FF43B9">
            <w:pPr>
              <w:autoSpaceDE w:val="0"/>
              <w:autoSpaceDN w:val="0"/>
              <w:adjustRightInd w:val="0"/>
              <w:spacing w:after="0" w:line="240" w:lineRule="auto"/>
              <w:rPr>
                <w:sz w:val="20"/>
                <w:szCs w:val="20"/>
              </w:rPr>
            </w:pPr>
            <w:r>
              <w:rPr>
                <w:sz w:val="20"/>
                <w:szCs w:val="20"/>
              </w:rPr>
              <w:t>T</w:t>
            </w:r>
            <w:r w:rsidRPr="00F867AE">
              <w:rPr>
                <w:sz w:val="20"/>
                <w:szCs w:val="20"/>
              </w:rPr>
              <w:t xml:space="preserve">he Department has altered its earlier practice so that the given name, position number and designation of the relevant staff member is included in a decision. </w:t>
            </w:r>
            <w:r>
              <w:rPr>
                <w:sz w:val="20"/>
                <w:szCs w:val="20"/>
              </w:rPr>
              <w:t xml:space="preserve">In </w:t>
            </w:r>
            <w:r w:rsidRPr="00F867AE">
              <w:rPr>
                <w:sz w:val="20"/>
                <w:szCs w:val="20"/>
              </w:rPr>
              <w:t>the Department’s specific circumstances, this altered practice is reasonable and results in the giving of valid notices under s 26.</w:t>
            </w:r>
          </w:p>
          <w:p w14:paraId="1951BF4D" w14:textId="77777777" w:rsidR="00FF43B9" w:rsidRDefault="00FF43B9" w:rsidP="00FF43B9">
            <w:pPr>
              <w:autoSpaceDE w:val="0"/>
              <w:autoSpaceDN w:val="0"/>
              <w:adjustRightInd w:val="0"/>
              <w:spacing w:after="0" w:line="240" w:lineRule="auto"/>
              <w:rPr>
                <w:sz w:val="20"/>
                <w:szCs w:val="20"/>
              </w:rPr>
            </w:pPr>
          </w:p>
          <w:p w14:paraId="006C27EE" w14:textId="7024A46B" w:rsidR="00FF43B9" w:rsidRPr="00D94668" w:rsidRDefault="00FF43B9" w:rsidP="00FF43B9">
            <w:pPr>
              <w:rPr>
                <w:sz w:val="20"/>
                <w:szCs w:val="20"/>
              </w:rPr>
            </w:pPr>
            <w:r>
              <w:rPr>
                <w:sz w:val="20"/>
                <w:szCs w:val="20"/>
              </w:rPr>
              <w:t>T</w:t>
            </w:r>
            <w:r w:rsidRPr="00811462">
              <w:rPr>
                <w:sz w:val="20"/>
                <w:szCs w:val="20"/>
              </w:rPr>
              <w:t>he Department is complying with the requirements of s 11C(3) of the FOI Act.</w:t>
            </w:r>
          </w:p>
        </w:tc>
        <w:tc>
          <w:tcPr>
            <w:tcW w:w="5811" w:type="dxa"/>
          </w:tcPr>
          <w:p w14:paraId="2D672CC5" w14:textId="7D64C659" w:rsidR="00FF43B9" w:rsidRDefault="00FF43B9" w:rsidP="00FF43B9">
            <w:pPr>
              <w:spacing w:after="0"/>
              <w:ind w:left="177"/>
              <w:rPr>
                <w:sz w:val="20"/>
                <w:szCs w:val="20"/>
              </w:rPr>
            </w:pPr>
            <w:r>
              <w:rPr>
                <w:sz w:val="20"/>
                <w:szCs w:val="20"/>
              </w:rPr>
              <w:lastRenderedPageBreak/>
              <w:t xml:space="preserve">No recommendations were made. </w:t>
            </w:r>
          </w:p>
          <w:p w14:paraId="715C6696" w14:textId="411670AC" w:rsidR="00FF43B9" w:rsidRDefault="00FF43B9" w:rsidP="00FF43B9">
            <w:pPr>
              <w:spacing w:after="0"/>
              <w:ind w:left="177"/>
              <w:rPr>
                <w:sz w:val="20"/>
                <w:szCs w:val="20"/>
              </w:rPr>
            </w:pPr>
          </w:p>
          <w:p w14:paraId="6CE7CC13" w14:textId="50142BA2" w:rsidR="00FF43B9" w:rsidRDefault="00FF43B9" w:rsidP="00FF43B9">
            <w:pPr>
              <w:spacing w:after="0"/>
              <w:ind w:left="177"/>
              <w:rPr>
                <w:sz w:val="20"/>
                <w:szCs w:val="20"/>
              </w:rPr>
            </w:pPr>
            <w:r>
              <w:rPr>
                <w:sz w:val="20"/>
                <w:szCs w:val="20"/>
              </w:rPr>
              <w:t>One suggestion was made:</w:t>
            </w:r>
          </w:p>
          <w:p w14:paraId="5044948D" w14:textId="75C54EA6" w:rsidR="00FF43B9" w:rsidRPr="005D47BE" w:rsidRDefault="00FF43B9" w:rsidP="00FF43B9">
            <w:pPr>
              <w:pStyle w:val="ListParagraph"/>
              <w:numPr>
                <w:ilvl w:val="0"/>
                <w:numId w:val="78"/>
              </w:numPr>
              <w:spacing w:after="0"/>
              <w:rPr>
                <w:sz w:val="20"/>
                <w:szCs w:val="20"/>
              </w:rPr>
            </w:pPr>
            <w:r w:rsidRPr="005D47BE">
              <w:rPr>
                <w:sz w:val="20"/>
                <w:szCs w:val="20"/>
              </w:rPr>
              <w:t>The Department review its capacity to enable the direct downloading of relevant information by persons who wish to obtain it and, absent a technical or resource barrier to doing so, implement a direct download facility so as to improve this aspect of the Department’s information access processes.</w:t>
            </w:r>
            <w:r>
              <w:rPr>
                <w:rStyle w:val="FootnoteReference"/>
                <w:sz w:val="20"/>
                <w:szCs w:val="20"/>
              </w:rPr>
              <w:footnoteReference w:id="5"/>
            </w:r>
          </w:p>
        </w:tc>
        <w:tc>
          <w:tcPr>
            <w:tcW w:w="2127" w:type="dxa"/>
          </w:tcPr>
          <w:p w14:paraId="7203BCD0" w14:textId="757C2FF5" w:rsidR="00FF43B9" w:rsidRDefault="00FF43B9" w:rsidP="00FF43B9">
            <w:pPr>
              <w:rPr>
                <w:sz w:val="20"/>
                <w:szCs w:val="20"/>
              </w:rPr>
            </w:pPr>
            <w:r>
              <w:rPr>
                <w:rFonts w:eastAsia="Source Sans Pro"/>
                <w:sz w:val="20"/>
                <w:szCs w:val="20"/>
              </w:rPr>
              <w:t>Not applicable.</w:t>
            </w:r>
          </w:p>
        </w:tc>
        <w:tc>
          <w:tcPr>
            <w:tcW w:w="1984" w:type="dxa"/>
          </w:tcPr>
          <w:p w14:paraId="146F69D5" w14:textId="58ABD76E" w:rsidR="00FF43B9" w:rsidRDefault="00FF43B9" w:rsidP="00FF43B9">
            <w:pPr>
              <w:rPr>
                <w:sz w:val="20"/>
                <w:szCs w:val="20"/>
              </w:rPr>
            </w:pPr>
            <w:r>
              <w:rPr>
                <w:sz w:val="20"/>
                <w:szCs w:val="20"/>
              </w:rPr>
              <w:t>Not applicable.</w:t>
            </w:r>
          </w:p>
        </w:tc>
      </w:tr>
      <w:tr w:rsidR="00FF43B9" w:rsidRPr="00D94668" w14:paraId="1A3D079B" w14:textId="77777777" w:rsidTr="0086062E">
        <w:trPr>
          <w:trHeight w:val="775"/>
        </w:trPr>
        <w:tc>
          <w:tcPr>
            <w:tcW w:w="1888" w:type="dxa"/>
          </w:tcPr>
          <w:p w14:paraId="2D6A2174" w14:textId="32D691C3" w:rsidR="00FF43B9" w:rsidRPr="00C62445" w:rsidRDefault="00FF43B9" w:rsidP="00FF43B9">
            <w:pPr>
              <w:rPr>
                <w:sz w:val="20"/>
                <w:szCs w:val="20"/>
              </w:rPr>
            </w:pPr>
            <w:r w:rsidRPr="00C62445">
              <w:rPr>
                <w:sz w:val="20"/>
                <w:szCs w:val="20"/>
              </w:rPr>
              <w:t>Australian Federal Police</w:t>
            </w:r>
          </w:p>
        </w:tc>
        <w:tc>
          <w:tcPr>
            <w:tcW w:w="2223" w:type="dxa"/>
          </w:tcPr>
          <w:p w14:paraId="03C252F7" w14:textId="77777777" w:rsidR="00FF43B9" w:rsidRDefault="00FF43B9" w:rsidP="00FF43B9">
            <w:pPr>
              <w:rPr>
                <w:sz w:val="20"/>
                <w:szCs w:val="20"/>
              </w:rPr>
            </w:pPr>
            <w:r w:rsidRPr="005618A4">
              <w:rPr>
                <w:sz w:val="20"/>
                <w:szCs w:val="20"/>
              </w:rPr>
              <w:t>Compliance with statutory timeframes for processing FOI request</w:t>
            </w:r>
            <w:r>
              <w:rPr>
                <w:sz w:val="20"/>
                <w:szCs w:val="20"/>
              </w:rPr>
              <w:t xml:space="preserve"> </w:t>
            </w:r>
          </w:p>
          <w:p w14:paraId="50F590B7" w14:textId="7B037D29" w:rsidR="00FF43B9" w:rsidRDefault="00FF43B9" w:rsidP="00FF43B9">
            <w:pPr>
              <w:rPr>
                <w:sz w:val="20"/>
                <w:szCs w:val="20"/>
              </w:rPr>
            </w:pPr>
            <w:r>
              <w:rPr>
                <w:sz w:val="20"/>
                <w:szCs w:val="20"/>
              </w:rPr>
              <w:t>Documents relevant to the request not appropriately stored</w:t>
            </w:r>
          </w:p>
          <w:p w14:paraId="5B921D1B" w14:textId="3B0CF443" w:rsidR="00FF43B9" w:rsidRPr="00D94668" w:rsidRDefault="00FF43B9" w:rsidP="00FF43B9">
            <w:pPr>
              <w:rPr>
                <w:sz w:val="20"/>
                <w:szCs w:val="20"/>
              </w:rPr>
            </w:pPr>
            <w:r>
              <w:rPr>
                <w:sz w:val="20"/>
                <w:szCs w:val="20"/>
              </w:rPr>
              <w:t>Handling of documents relevant to the request</w:t>
            </w:r>
          </w:p>
        </w:tc>
        <w:tc>
          <w:tcPr>
            <w:tcW w:w="1352" w:type="dxa"/>
          </w:tcPr>
          <w:p w14:paraId="0F7376F8" w14:textId="6D3D98B4" w:rsidR="00FF43B9" w:rsidRPr="00D94668" w:rsidRDefault="00FF43B9" w:rsidP="00FF43B9">
            <w:pPr>
              <w:rPr>
                <w:sz w:val="20"/>
                <w:szCs w:val="20"/>
              </w:rPr>
            </w:pPr>
            <w:r>
              <w:rPr>
                <w:sz w:val="20"/>
                <w:szCs w:val="20"/>
              </w:rPr>
              <w:t>Non-personal</w:t>
            </w:r>
          </w:p>
        </w:tc>
        <w:tc>
          <w:tcPr>
            <w:tcW w:w="1483" w:type="dxa"/>
          </w:tcPr>
          <w:p w14:paraId="5BA7B99F" w14:textId="3B7A19D6" w:rsidR="00FF43B9" w:rsidRPr="00D94668" w:rsidRDefault="00FF43B9" w:rsidP="00FF43B9">
            <w:pPr>
              <w:rPr>
                <w:sz w:val="20"/>
                <w:szCs w:val="20"/>
              </w:rPr>
            </w:pPr>
            <w:r>
              <w:rPr>
                <w:sz w:val="20"/>
                <w:szCs w:val="20"/>
              </w:rPr>
              <w:t>17 June 2022</w:t>
            </w:r>
          </w:p>
        </w:tc>
        <w:tc>
          <w:tcPr>
            <w:tcW w:w="4395" w:type="dxa"/>
          </w:tcPr>
          <w:p w14:paraId="3AFFCFB7" w14:textId="77777777" w:rsidR="00FF43B9" w:rsidRDefault="00FF43B9" w:rsidP="00FF43B9">
            <w:pPr>
              <w:autoSpaceDE w:val="0"/>
              <w:autoSpaceDN w:val="0"/>
              <w:adjustRightInd w:val="0"/>
              <w:spacing w:after="0" w:line="240" w:lineRule="auto"/>
              <w:rPr>
                <w:sz w:val="20"/>
                <w:szCs w:val="20"/>
              </w:rPr>
            </w:pPr>
            <w:r>
              <w:rPr>
                <w:sz w:val="20"/>
                <w:szCs w:val="20"/>
              </w:rPr>
              <w:t>The</w:t>
            </w:r>
            <w:r w:rsidRPr="00220263">
              <w:rPr>
                <w:sz w:val="20"/>
                <w:szCs w:val="20"/>
              </w:rPr>
              <w:t xml:space="preserve"> AFP’s failure to ensure that documents were stored in accordance with AFP records management procedures resulted in the AFP failing to process the complainant’s FOI request</w:t>
            </w:r>
            <w:r>
              <w:rPr>
                <w:sz w:val="20"/>
                <w:szCs w:val="20"/>
              </w:rPr>
              <w:t xml:space="preserve"> </w:t>
            </w:r>
            <w:r w:rsidRPr="00220263">
              <w:rPr>
                <w:sz w:val="20"/>
                <w:szCs w:val="20"/>
              </w:rPr>
              <w:t>within the statutory timeframe prescribed by s 15(5)(b) of the FOI Act.</w:t>
            </w:r>
          </w:p>
          <w:p w14:paraId="02D060AC" w14:textId="77777777" w:rsidR="00FF43B9" w:rsidRDefault="00FF43B9" w:rsidP="00FF43B9">
            <w:pPr>
              <w:autoSpaceDE w:val="0"/>
              <w:autoSpaceDN w:val="0"/>
              <w:adjustRightInd w:val="0"/>
              <w:spacing w:after="0" w:line="240" w:lineRule="auto"/>
              <w:rPr>
                <w:sz w:val="20"/>
                <w:szCs w:val="20"/>
              </w:rPr>
            </w:pPr>
          </w:p>
          <w:p w14:paraId="0F195B03" w14:textId="77777777" w:rsidR="00FF43B9" w:rsidRDefault="00FF43B9" w:rsidP="00FF43B9">
            <w:pPr>
              <w:autoSpaceDE w:val="0"/>
              <w:autoSpaceDN w:val="0"/>
              <w:adjustRightInd w:val="0"/>
              <w:spacing w:after="0" w:line="240" w:lineRule="auto"/>
              <w:rPr>
                <w:sz w:val="20"/>
                <w:szCs w:val="20"/>
              </w:rPr>
            </w:pPr>
            <w:r>
              <w:rPr>
                <w:sz w:val="20"/>
                <w:szCs w:val="20"/>
              </w:rPr>
              <w:t xml:space="preserve">It </w:t>
            </w:r>
            <w:r w:rsidRPr="003708F2">
              <w:rPr>
                <w:sz w:val="20"/>
                <w:szCs w:val="20"/>
              </w:rPr>
              <w:t>does not appear that there existed, or exist, sufficient escalation processes and procedures in place to enable the AFP’s FOI team to address circumstances of the kind which impacted on the processing of the complainant’s FOI request.</w:t>
            </w:r>
          </w:p>
          <w:p w14:paraId="5AC5423B" w14:textId="77777777" w:rsidR="00FF43B9" w:rsidRDefault="00FF43B9" w:rsidP="00FF43B9">
            <w:pPr>
              <w:autoSpaceDE w:val="0"/>
              <w:autoSpaceDN w:val="0"/>
              <w:adjustRightInd w:val="0"/>
              <w:spacing w:after="0" w:line="240" w:lineRule="auto"/>
              <w:rPr>
                <w:sz w:val="20"/>
                <w:szCs w:val="20"/>
              </w:rPr>
            </w:pPr>
          </w:p>
          <w:p w14:paraId="5C8AAE7E" w14:textId="77777777" w:rsidR="00FF43B9" w:rsidRDefault="00FF43B9" w:rsidP="00FF43B9">
            <w:pPr>
              <w:autoSpaceDE w:val="0"/>
              <w:autoSpaceDN w:val="0"/>
              <w:adjustRightInd w:val="0"/>
              <w:spacing w:after="0" w:line="240" w:lineRule="auto"/>
              <w:rPr>
                <w:sz w:val="20"/>
                <w:szCs w:val="20"/>
              </w:rPr>
            </w:pPr>
            <w:r>
              <w:rPr>
                <w:sz w:val="20"/>
                <w:szCs w:val="20"/>
              </w:rPr>
              <w:t>Remainder of the FOI complaint outside of the jurisdiction of the FOI Act.</w:t>
            </w:r>
          </w:p>
          <w:p w14:paraId="4C88E513" w14:textId="77777777" w:rsidR="00FF43B9" w:rsidRPr="00D94668" w:rsidRDefault="00FF43B9" w:rsidP="00FF43B9">
            <w:pPr>
              <w:rPr>
                <w:sz w:val="20"/>
                <w:szCs w:val="20"/>
              </w:rPr>
            </w:pPr>
          </w:p>
        </w:tc>
        <w:tc>
          <w:tcPr>
            <w:tcW w:w="5811" w:type="dxa"/>
          </w:tcPr>
          <w:p w14:paraId="4D5AF302" w14:textId="21F94B1E" w:rsidR="00FF43B9" w:rsidRDefault="00FF43B9" w:rsidP="00FF43B9">
            <w:pPr>
              <w:pStyle w:val="ListParagraph"/>
              <w:spacing w:before="240" w:after="240" w:line="240" w:lineRule="auto"/>
              <w:rPr>
                <w:rFonts w:cs="SourceSansPro-Regular"/>
                <w:sz w:val="20"/>
                <w:szCs w:val="20"/>
              </w:rPr>
            </w:pPr>
            <w:r>
              <w:rPr>
                <w:rFonts w:cs="SourceSansPro-Regular"/>
                <w:sz w:val="20"/>
                <w:szCs w:val="20"/>
              </w:rPr>
              <w:t>One recommendation was made:</w:t>
            </w:r>
          </w:p>
          <w:p w14:paraId="454CC529" w14:textId="463A805B" w:rsidR="00FF43B9" w:rsidRDefault="00FF43B9" w:rsidP="00FF43B9">
            <w:pPr>
              <w:pStyle w:val="ListParagraph"/>
              <w:numPr>
                <w:ilvl w:val="0"/>
                <w:numId w:val="77"/>
              </w:numPr>
              <w:spacing w:before="240" w:after="240" w:line="240" w:lineRule="auto"/>
              <w:rPr>
                <w:rFonts w:cs="SourceSansPro-Regular"/>
                <w:sz w:val="20"/>
                <w:szCs w:val="20"/>
              </w:rPr>
            </w:pPr>
            <w:r>
              <w:rPr>
                <w:rFonts w:cs="SourceSansPro-Regular"/>
                <w:sz w:val="20"/>
                <w:szCs w:val="20"/>
              </w:rPr>
              <w:t>T</w:t>
            </w:r>
            <w:r w:rsidRPr="00320CDD">
              <w:rPr>
                <w:rFonts w:cs="SourceSansPro-Regular"/>
                <w:sz w:val="20"/>
                <w:szCs w:val="20"/>
              </w:rPr>
              <w:t xml:space="preserve">he AFP update its relevant information management guidance to include appropriate escalation points for the AFP FOI team to follow where AFP personnel have not followed processes and procedures which then impacts on the processing of FOI requests. </w:t>
            </w:r>
          </w:p>
          <w:p w14:paraId="0E8E5D3C" w14:textId="77777777" w:rsidR="00FF43B9" w:rsidRDefault="00FF43B9" w:rsidP="00FF43B9">
            <w:pPr>
              <w:pStyle w:val="ListParagraph"/>
              <w:spacing w:before="240" w:after="240" w:line="240" w:lineRule="auto"/>
              <w:rPr>
                <w:rFonts w:cs="SourceSansPro-Regular"/>
                <w:sz w:val="20"/>
                <w:szCs w:val="20"/>
              </w:rPr>
            </w:pPr>
          </w:p>
          <w:p w14:paraId="1957C272" w14:textId="78559617" w:rsidR="00FF43B9" w:rsidRDefault="00FF43B9" w:rsidP="00FF43B9">
            <w:pPr>
              <w:pStyle w:val="ListParagraph"/>
              <w:spacing w:before="240" w:after="240" w:line="240" w:lineRule="auto"/>
              <w:rPr>
                <w:rFonts w:cs="SourceSansPro-Regular"/>
                <w:sz w:val="20"/>
                <w:szCs w:val="20"/>
              </w:rPr>
            </w:pPr>
            <w:r>
              <w:rPr>
                <w:rFonts w:cs="SourceSansPro-Regular"/>
                <w:sz w:val="20"/>
                <w:szCs w:val="20"/>
              </w:rPr>
              <w:t>Two suggestions were made:</w:t>
            </w:r>
          </w:p>
          <w:p w14:paraId="75E9C2DB" w14:textId="77777777" w:rsidR="00FF43B9" w:rsidRPr="001D6239" w:rsidRDefault="00FF43B9" w:rsidP="00FF43B9">
            <w:pPr>
              <w:pStyle w:val="ListParagraph"/>
              <w:numPr>
                <w:ilvl w:val="0"/>
                <w:numId w:val="44"/>
              </w:numPr>
              <w:spacing w:before="240" w:after="240" w:line="240" w:lineRule="auto"/>
              <w:rPr>
                <w:rFonts w:eastAsiaTheme="minorEastAsia" w:cs="SourceSansPro-Regular"/>
                <w:sz w:val="20"/>
                <w:szCs w:val="20"/>
                <w:lang w:eastAsia="ko-KR"/>
              </w:rPr>
            </w:pPr>
            <w:r>
              <w:rPr>
                <w:rFonts w:cs="SourceSansPro-Regular"/>
                <w:sz w:val="20"/>
                <w:szCs w:val="20"/>
              </w:rPr>
              <w:t xml:space="preserve">That the AFP consider whether it would be possible, within any resource or other applicable constraints, to implement a process to create digital backups </w:t>
            </w:r>
            <w:r w:rsidRPr="001D6239">
              <w:rPr>
                <w:sz w:val="20"/>
                <w:szCs w:val="20"/>
              </w:rPr>
              <w:t xml:space="preserve">of all hard copy documents which may be the subject of an FOI request and, if considered possible, to implement that process. </w:t>
            </w:r>
          </w:p>
          <w:p w14:paraId="3AC8DB5A" w14:textId="2357105F" w:rsidR="00FF43B9" w:rsidRPr="00EB0418" w:rsidRDefault="00FF43B9" w:rsidP="00FF43B9">
            <w:pPr>
              <w:pStyle w:val="ListParagraph"/>
              <w:numPr>
                <w:ilvl w:val="0"/>
                <w:numId w:val="44"/>
              </w:numPr>
              <w:spacing w:before="240" w:after="240" w:line="240" w:lineRule="auto"/>
              <w:rPr>
                <w:rFonts w:eastAsiaTheme="minorEastAsia" w:cs="SourceSansPro-Regular"/>
                <w:sz w:val="20"/>
                <w:szCs w:val="20"/>
                <w:lang w:eastAsia="ko-KR"/>
              </w:rPr>
            </w:pPr>
            <w:r w:rsidRPr="001D6239">
              <w:rPr>
                <w:sz w:val="20"/>
                <w:szCs w:val="20"/>
              </w:rPr>
              <w:t>That the AFP take appropriate action to ensure that it can in any relevant case secure timely compliance by its officers and employees with policies and requirements concerning the handling of documents which may be the subject of an FOI request. This might include, for example, the implementation of a process to ensure that hard copy documents are returned to the Records Management Unit when an officer is posted overseas. It might also include the exercise of formal powers, such as a power to give or make directions applicable to employees or officers, to formally impose appropriate obligations on employees or officers in relation to documents which may be the subject of an FOI request (</w:t>
            </w:r>
            <w:proofErr w:type="spellStart"/>
            <w:r w:rsidRPr="001D6239">
              <w:rPr>
                <w:sz w:val="20"/>
                <w:szCs w:val="20"/>
              </w:rPr>
              <w:t>ie</w:t>
            </w:r>
            <w:proofErr w:type="spellEnd"/>
            <w:r w:rsidRPr="001D6239">
              <w:rPr>
                <w:sz w:val="20"/>
                <w:szCs w:val="20"/>
              </w:rPr>
              <w:t>, if those formal obligations do not already exist in connection with an employee’s employment or an officer’s engagement).</w:t>
            </w:r>
          </w:p>
        </w:tc>
        <w:tc>
          <w:tcPr>
            <w:tcW w:w="2127" w:type="dxa"/>
          </w:tcPr>
          <w:p w14:paraId="4693D02E" w14:textId="630E4ED1" w:rsidR="00FF43B9" w:rsidRDefault="00FF43B9" w:rsidP="00FF43B9">
            <w:pPr>
              <w:rPr>
                <w:sz w:val="20"/>
                <w:szCs w:val="20"/>
              </w:rPr>
            </w:pPr>
            <w:r>
              <w:rPr>
                <w:rFonts w:eastAsia="Source Sans Pro"/>
                <w:sz w:val="20"/>
                <w:szCs w:val="20"/>
              </w:rPr>
              <w:t xml:space="preserve">Accepted and implemented. </w:t>
            </w:r>
          </w:p>
        </w:tc>
        <w:tc>
          <w:tcPr>
            <w:tcW w:w="1984" w:type="dxa"/>
          </w:tcPr>
          <w:p w14:paraId="2FA64F4D" w14:textId="74F22393" w:rsidR="00FF43B9" w:rsidRDefault="00FF43B9" w:rsidP="00FF43B9">
            <w:pPr>
              <w:rPr>
                <w:sz w:val="20"/>
                <w:szCs w:val="20"/>
              </w:rPr>
            </w:pPr>
            <w:r>
              <w:rPr>
                <w:sz w:val="20"/>
                <w:szCs w:val="20"/>
              </w:rPr>
              <w:t>No further action to be taken.</w:t>
            </w:r>
          </w:p>
        </w:tc>
      </w:tr>
      <w:tr w:rsidR="00FF43B9" w:rsidRPr="00D94668" w14:paraId="772D4A2F" w14:textId="77777777" w:rsidTr="0086062E">
        <w:trPr>
          <w:trHeight w:val="2418"/>
        </w:trPr>
        <w:tc>
          <w:tcPr>
            <w:tcW w:w="1888" w:type="dxa"/>
          </w:tcPr>
          <w:p w14:paraId="383C1DAD" w14:textId="5CFF0743" w:rsidR="00FF43B9" w:rsidRPr="00B957C3" w:rsidRDefault="00FF43B9" w:rsidP="00FF43B9">
            <w:pPr>
              <w:rPr>
                <w:sz w:val="20"/>
                <w:szCs w:val="20"/>
              </w:rPr>
            </w:pPr>
            <w:r w:rsidRPr="00B957C3">
              <w:rPr>
                <w:sz w:val="20"/>
                <w:szCs w:val="20"/>
              </w:rPr>
              <w:lastRenderedPageBreak/>
              <w:t>Australian Electoral Commission</w:t>
            </w:r>
          </w:p>
        </w:tc>
        <w:tc>
          <w:tcPr>
            <w:tcW w:w="2223" w:type="dxa"/>
          </w:tcPr>
          <w:p w14:paraId="43A17B9D" w14:textId="3B9AC1E3" w:rsidR="00FF43B9" w:rsidRDefault="00FF43B9" w:rsidP="00FF43B9">
            <w:pPr>
              <w:rPr>
                <w:sz w:val="20"/>
                <w:szCs w:val="20"/>
              </w:rPr>
            </w:pPr>
            <w:r>
              <w:rPr>
                <w:sz w:val="20"/>
                <w:szCs w:val="20"/>
              </w:rPr>
              <w:t>Assistance provided to applicant during the consultation process</w:t>
            </w:r>
          </w:p>
          <w:p w14:paraId="754B36CF" w14:textId="6BF89C8D" w:rsidR="00FF43B9" w:rsidRPr="00D94668" w:rsidRDefault="00FF43B9" w:rsidP="00FF43B9">
            <w:pPr>
              <w:rPr>
                <w:sz w:val="20"/>
                <w:szCs w:val="20"/>
              </w:rPr>
            </w:pPr>
            <w:r>
              <w:rPr>
                <w:sz w:val="20"/>
                <w:szCs w:val="20"/>
              </w:rPr>
              <w:t>Compliance</w:t>
            </w:r>
            <w:r w:rsidRPr="009A065F">
              <w:rPr>
                <w:sz w:val="20"/>
                <w:szCs w:val="20"/>
              </w:rPr>
              <w:t xml:space="preserve"> with the timeframe for notification of the Commission’s decision</w:t>
            </w:r>
            <w:r>
              <w:rPr>
                <w:sz w:val="20"/>
                <w:szCs w:val="20"/>
              </w:rPr>
              <w:t xml:space="preserve"> </w:t>
            </w:r>
            <w:r w:rsidRPr="00481C54">
              <w:rPr>
                <w:sz w:val="20"/>
                <w:szCs w:val="20"/>
              </w:rPr>
              <w:t xml:space="preserve">as set out in </w:t>
            </w:r>
            <w:r>
              <w:rPr>
                <w:sz w:val="20"/>
                <w:szCs w:val="20"/>
              </w:rPr>
              <w:t xml:space="preserve">the related </w:t>
            </w:r>
            <w:r w:rsidRPr="00481C54">
              <w:rPr>
                <w:sz w:val="20"/>
                <w:szCs w:val="20"/>
              </w:rPr>
              <w:t>Information Commissioner decision</w:t>
            </w:r>
          </w:p>
        </w:tc>
        <w:tc>
          <w:tcPr>
            <w:tcW w:w="1352" w:type="dxa"/>
          </w:tcPr>
          <w:p w14:paraId="61828F8B" w14:textId="480499BE" w:rsidR="00FF43B9" w:rsidRPr="00D94668" w:rsidRDefault="00FF43B9" w:rsidP="00FF43B9">
            <w:pPr>
              <w:rPr>
                <w:sz w:val="20"/>
                <w:szCs w:val="20"/>
              </w:rPr>
            </w:pPr>
            <w:r>
              <w:rPr>
                <w:sz w:val="20"/>
                <w:szCs w:val="20"/>
              </w:rPr>
              <w:t>Non-personal</w:t>
            </w:r>
          </w:p>
        </w:tc>
        <w:tc>
          <w:tcPr>
            <w:tcW w:w="1483" w:type="dxa"/>
          </w:tcPr>
          <w:p w14:paraId="68C9BA82" w14:textId="0E24525A" w:rsidR="00FF43B9" w:rsidRPr="00D94668" w:rsidRDefault="00FF43B9" w:rsidP="00FF43B9">
            <w:pPr>
              <w:rPr>
                <w:sz w:val="20"/>
                <w:szCs w:val="20"/>
              </w:rPr>
            </w:pPr>
            <w:r>
              <w:rPr>
                <w:sz w:val="20"/>
                <w:szCs w:val="20"/>
              </w:rPr>
              <w:t>15 June 2022</w:t>
            </w:r>
          </w:p>
        </w:tc>
        <w:tc>
          <w:tcPr>
            <w:tcW w:w="4395" w:type="dxa"/>
          </w:tcPr>
          <w:p w14:paraId="34FCF984" w14:textId="77777777" w:rsidR="00FF43B9" w:rsidRPr="008F31DD" w:rsidRDefault="00FF43B9" w:rsidP="00FF43B9">
            <w:pPr>
              <w:autoSpaceDE w:val="0"/>
              <w:autoSpaceDN w:val="0"/>
              <w:adjustRightInd w:val="0"/>
              <w:rPr>
                <w:rFonts w:ascii="Source Sans Pro" w:hAnsi="Source Sans Pro"/>
              </w:rPr>
            </w:pPr>
            <w:r w:rsidRPr="007806BB">
              <w:rPr>
                <w:sz w:val="20"/>
                <w:szCs w:val="20"/>
              </w:rPr>
              <w:t>At the time of processing the FOI request, when corresponding with the complainant, the Commission did not engage in practices appropriate to advancing the objects of the FOI Act</w:t>
            </w:r>
            <w:r w:rsidRPr="008F31DD">
              <w:rPr>
                <w:rFonts w:ascii="Source Sans Pro" w:hAnsi="Source Sans Pro"/>
              </w:rPr>
              <w:t>.</w:t>
            </w:r>
          </w:p>
          <w:p w14:paraId="09754D42" w14:textId="4EDC6832" w:rsidR="00FF43B9" w:rsidRDefault="00FF43B9" w:rsidP="00FF43B9">
            <w:pPr>
              <w:rPr>
                <w:sz w:val="20"/>
                <w:szCs w:val="20"/>
              </w:rPr>
            </w:pPr>
            <w:r>
              <w:rPr>
                <w:sz w:val="20"/>
                <w:szCs w:val="20"/>
              </w:rPr>
              <w:t>T</w:t>
            </w:r>
            <w:r w:rsidRPr="003E75E5">
              <w:rPr>
                <w:sz w:val="20"/>
                <w:szCs w:val="20"/>
              </w:rPr>
              <w:t xml:space="preserve">he Commission did not comply with the timeframe set out in the </w:t>
            </w:r>
            <w:r>
              <w:rPr>
                <w:sz w:val="20"/>
                <w:szCs w:val="20"/>
              </w:rPr>
              <w:t>Information Commissioner review decision</w:t>
            </w:r>
            <w:r w:rsidRPr="003E75E5">
              <w:rPr>
                <w:sz w:val="20"/>
                <w:szCs w:val="20"/>
              </w:rPr>
              <w:t xml:space="preserve"> and so failed to comply with s 55N of the FOI Act</w:t>
            </w:r>
          </w:p>
          <w:p w14:paraId="451FF5CA" w14:textId="77777777" w:rsidR="00FF43B9" w:rsidRDefault="00FF43B9" w:rsidP="00FF43B9">
            <w:pPr>
              <w:rPr>
                <w:sz w:val="20"/>
                <w:szCs w:val="20"/>
              </w:rPr>
            </w:pPr>
          </w:p>
          <w:p w14:paraId="1E050677" w14:textId="1B0BD179" w:rsidR="00FF43B9" w:rsidRPr="00D94668" w:rsidRDefault="00FF43B9" w:rsidP="00FF43B9">
            <w:pPr>
              <w:rPr>
                <w:sz w:val="20"/>
                <w:szCs w:val="20"/>
              </w:rPr>
            </w:pPr>
          </w:p>
        </w:tc>
        <w:tc>
          <w:tcPr>
            <w:tcW w:w="5811" w:type="dxa"/>
          </w:tcPr>
          <w:p w14:paraId="64E07DF3" w14:textId="6F9FE267" w:rsidR="00FF43B9" w:rsidRPr="00971A4E" w:rsidRDefault="00FF43B9" w:rsidP="00FF43B9">
            <w:pPr>
              <w:spacing w:after="0" w:line="240" w:lineRule="auto"/>
              <w:rPr>
                <w:sz w:val="20"/>
                <w:szCs w:val="20"/>
              </w:rPr>
            </w:pPr>
            <w:r>
              <w:rPr>
                <w:sz w:val="20"/>
                <w:szCs w:val="20"/>
              </w:rPr>
              <w:t>Four recommendations were made:</w:t>
            </w:r>
          </w:p>
          <w:p w14:paraId="5D718746" w14:textId="677DEC56" w:rsidR="00FF43B9" w:rsidRDefault="00FF43B9" w:rsidP="00FF43B9">
            <w:pPr>
              <w:pStyle w:val="ListParagraph"/>
              <w:numPr>
                <w:ilvl w:val="0"/>
                <w:numId w:val="38"/>
              </w:numPr>
              <w:spacing w:after="0" w:line="240" w:lineRule="auto"/>
              <w:rPr>
                <w:sz w:val="20"/>
                <w:szCs w:val="20"/>
              </w:rPr>
            </w:pPr>
            <w:r w:rsidRPr="00311A45">
              <w:rPr>
                <w:sz w:val="20"/>
                <w:szCs w:val="20"/>
              </w:rPr>
              <w:t>Update the Commission’s proposed FOI processing procedure and guide to decision making process and procedure document to reflect the opinions and conclusions reached in this investigation in relation to each of the two matters investigated.</w:t>
            </w:r>
          </w:p>
          <w:p w14:paraId="675F7E97" w14:textId="77777777" w:rsidR="00FF43B9" w:rsidRDefault="00FF43B9" w:rsidP="00FF43B9">
            <w:pPr>
              <w:pStyle w:val="ListParagraph"/>
              <w:numPr>
                <w:ilvl w:val="0"/>
                <w:numId w:val="38"/>
              </w:numPr>
              <w:spacing w:after="0" w:line="240" w:lineRule="auto"/>
              <w:rPr>
                <w:sz w:val="20"/>
                <w:szCs w:val="20"/>
              </w:rPr>
            </w:pPr>
            <w:r w:rsidRPr="00311A45">
              <w:rPr>
                <w:sz w:val="20"/>
                <w:szCs w:val="20"/>
              </w:rPr>
              <w:t>Provide to the OAIC a copy of the FOI processing procedure and guide to decision making process and procedure document as updated in accordance with recommendation 1.</w:t>
            </w:r>
          </w:p>
          <w:p w14:paraId="558851DA" w14:textId="77777777" w:rsidR="00FF43B9" w:rsidRDefault="00FF43B9" w:rsidP="00FF43B9">
            <w:pPr>
              <w:pStyle w:val="ListParagraph"/>
              <w:numPr>
                <w:ilvl w:val="0"/>
                <w:numId w:val="38"/>
              </w:numPr>
              <w:spacing w:after="0" w:line="240" w:lineRule="auto"/>
              <w:rPr>
                <w:sz w:val="20"/>
                <w:szCs w:val="20"/>
              </w:rPr>
            </w:pPr>
            <w:r w:rsidRPr="00311A45">
              <w:rPr>
                <w:sz w:val="20"/>
                <w:szCs w:val="20"/>
              </w:rPr>
              <w:t>Provide to the OAIC an update on the implementation of training of the FOI team which the Commission indicated it would undertake following the 2022 general election.</w:t>
            </w:r>
          </w:p>
          <w:p w14:paraId="41D5B2A9" w14:textId="6B1C3783" w:rsidR="00FF43B9" w:rsidRPr="00D94668" w:rsidRDefault="00FF43B9" w:rsidP="00FF43B9">
            <w:pPr>
              <w:pStyle w:val="ListParagraph"/>
              <w:numPr>
                <w:ilvl w:val="0"/>
                <w:numId w:val="38"/>
              </w:numPr>
              <w:spacing w:after="0" w:line="240" w:lineRule="auto"/>
              <w:rPr>
                <w:sz w:val="20"/>
                <w:szCs w:val="20"/>
              </w:rPr>
            </w:pPr>
            <w:r>
              <w:rPr>
                <w:sz w:val="20"/>
                <w:szCs w:val="20"/>
              </w:rPr>
              <w:t xml:space="preserve">Provide </w:t>
            </w:r>
            <w:r w:rsidRPr="00311A45">
              <w:rPr>
                <w:sz w:val="20"/>
                <w:szCs w:val="20"/>
              </w:rPr>
              <w:t>a formal apology to the complainant as proposed by the Commission</w:t>
            </w:r>
            <w:r>
              <w:rPr>
                <w:sz w:val="20"/>
                <w:szCs w:val="20"/>
              </w:rPr>
              <w:t>.</w:t>
            </w:r>
          </w:p>
        </w:tc>
        <w:tc>
          <w:tcPr>
            <w:tcW w:w="2127" w:type="dxa"/>
          </w:tcPr>
          <w:p w14:paraId="3E33D669" w14:textId="6A5474C4" w:rsidR="00FF43B9" w:rsidRDefault="00FF43B9" w:rsidP="00FF43B9">
            <w:pPr>
              <w:rPr>
                <w:sz w:val="20"/>
                <w:szCs w:val="20"/>
              </w:rPr>
            </w:pPr>
            <w:r>
              <w:rPr>
                <w:rFonts w:eastAsia="Source Sans Pro"/>
                <w:sz w:val="20"/>
                <w:szCs w:val="20"/>
              </w:rPr>
              <w:t xml:space="preserve">Accepted and implemented. </w:t>
            </w:r>
          </w:p>
        </w:tc>
        <w:tc>
          <w:tcPr>
            <w:tcW w:w="1984" w:type="dxa"/>
          </w:tcPr>
          <w:p w14:paraId="65B54BE4" w14:textId="31A77B1E" w:rsidR="00FF43B9" w:rsidRDefault="00FF43B9" w:rsidP="00FF43B9">
            <w:pPr>
              <w:rPr>
                <w:sz w:val="20"/>
                <w:szCs w:val="20"/>
              </w:rPr>
            </w:pPr>
            <w:r>
              <w:rPr>
                <w:sz w:val="20"/>
                <w:szCs w:val="20"/>
              </w:rPr>
              <w:t>No further action to be taken.</w:t>
            </w:r>
          </w:p>
        </w:tc>
      </w:tr>
      <w:tr w:rsidR="00FF43B9" w:rsidRPr="00D94668" w14:paraId="50D6ECD0" w14:textId="77777777" w:rsidTr="0086062E">
        <w:trPr>
          <w:trHeight w:val="2418"/>
        </w:trPr>
        <w:tc>
          <w:tcPr>
            <w:tcW w:w="1888" w:type="dxa"/>
          </w:tcPr>
          <w:p w14:paraId="162A62B0" w14:textId="35ECCBBC" w:rsidR="00FF43B9" w:rsidRPr="00D67E83" w:rsidRDefault="00FF43B9" w:rsidP="00FF43B9">
            <w:pPr>
              <w:rPr>
                <w:sz w:val="20"/>
                <w:szCs w:val="20"/>
              </w:rPr>
            </w:pPr>
            <w:r w:rsidRPr="00D67E83">
              <w:rPr>
                <w:sz w:val="20"/>
                <w:szCs w:val="20"/>
              </w:rPr>
              <w:t>National Disability Insurance Agency</w:t>
            </w:r>
          </w:p>
        </w:tc>
        <w:tc>
          <w:tcPr>
            <w:tcW w:w="2223" w:type="dxa"/>
          </w:tcPr>
          <w:p w14:paraId="489E23ED" w14:textId="4230FA21" w:rsidR="00FF43B9" w:rsidRDefault="00FF43B9" w:rsidP="00FF43B9">
            <w:pPr>
              <w:rPr>
                <w:sz w:val="20"/>
                <w:szCs w:val="20"/>
              </w:rPr>
            </w:pPr>
            <w:r w:rsidRPr="00D94668">
              <w:rPr>
                <w:sz w:val="20"/>
                <w:szCs w:val="20"/>
              </w:rPr>
              <w:t>Acknowledgment of FOI requests in accordance with statutory timeframes</w:t>
            </w:r>
          </w:p>
          <w:p w14:paraId="7318C8AF" w14:textId="278F5EB4" w:rsidR="00FF43B9" w:rsidRPr="00D94668" w:rsidRDefault="00FF43B9" w:rsidP="00FF43B9">
            <w:pPr>
              <w:rPr>
                <w:sz w:val="20"/>
                <w:szCs w:val="20"/>
              </w:rPr>
            </w:pPr>
            <w:r>
              <w:rPr>
                <w:sz w:val="20"/>
                <w:szCs w:val="20"/>
              </w:rPr>
              <w:t>Documents relevant to requests sent to incorrect postal address</w:t>
            </w:r>
          </w:p>
        </w:tc>
        <w:tc>
          <w:tcPr>
            <w:tcW w:w="1352" w:type="dxa"/>
          </w:tcPr>
          <w:p w14:paraId="18D7DE1C" w14:textId="31BF7A64" w:rsidR="00FF43B9" w:rsidRPr="00D94668" w:rsidRDefault="00FF43B9" w:rsidP="00FF43B9">
            <w:pPr>
              <w:rPr>
                <w:sz w:val="20"/>
                <w:szCs w:val="20"/>
              </w:rPr>
            </w:pPr>
            <w:r>
              <w:rPr>
                <w:sz w:val="20"/>
                <w:szCs w:val="20"/>
              </w:rPr>
              <w:t>Non-personal</w:t>
            </w:r>
          </w:p>
        </w:tc>
        <w:tc>
          <w:tcPr>
            <w:tcW w:w="1483" w:type="dxa"/>
          </w:tcPr>
          <w:p w14:paraId="2C708774" w14:textId="1D742377" w:rsidR="00FF43B9" w:rsidRPr="00D94668" w:rsidRDefault="00FF43B9" w:rsidP="00FF43B9">
            <w:pPr>
              <w:rPr>
                <w:sz w:val="20"/>
                <w:szCs w:val="20"/>
              </w:rPr>
            </w:pPr>
            <w:r>
              <w:rPr>
                <w:sz w:val="20"/>
                <w:szCs w:val="20"/>
              </w:rPr>
              <w:t>15 June 2022</w:t>
            </w:r>
          </w:p>
        </w:tc>
        <w:tc>
          <w:tcPr>
            <w:tcW w:w="4395" w:type="dxa"/>
          </w:tcPr>
          <w:p w14:paraId="03B2AC03" w14:textId="77777777" w:rsidR="00FF43B9" w:rsidRDefault="00FF43B9" w:rsidP="00FF43B9">
            <w:pPr>
              <w:autoSpaceDE w:val="0"/>
              <w:autoSpaceDN w:val="0"/>
              <w:adjustRightInd w:val="0"/>
              <w:spacing w:after="0" w:line="240" w:lineRule="auto"/>
              <w:rPr>
                <w:sz w:val="20"/>
                <w:szCs w:val="20"/>
              </w:rPr>
            </w:pPr>
            <w:r>
              <w:rPr>
                <w:sz w:val="20"/>
                <w:szCs w:val="20"/>
              </w:rPr>
              <w:t>The NDIA failed</w:t>
            </w:r>
            <w:r w:rsidRPr="00CB1FC3">
              <w:rPr>
                <w:sz w:val="20"/>
                <w:szCs w:val="20"/>
              </w:rPr>
              <w:t xml:space="preserve"> to acknowledge the complainant’s FOI requests within the statutory timeframes set out in s 15(5)(a) of the FOI Act.</w:t>
            </w:r>
          </w:p>
          <w:p w14:paraId="787D929A" w14:textId="77777777" w:rsidR="00FF43B9" w:rsidRDefault="00FF43B9" w:rsidP="00FF43B9">
            <w:pPr>
              <w:autoSpaceDE w:val="0"/>
              <w:autoSpaceDN w:val="0"/>
              <w:adjustRightInd w:val="0"/>
              <w:spacing w:after="0" w:line="240" w:lineRule="auto"/>
              <w:rPr>
                <w:sz w:val="20"/>
                <w:szCs w:val="20"/>
              </w:rPr>
            </w:pPr>
          </w:p>
          <w:p w14:paraId="046E21E6" w14:textId="77777777" w:rsidR="00FF43B9" w:rsidRDefault="00FF43B9" w:rsidP="00FF43B9">
            <w:pPr>
              <w:autoSpaceDE w:val="0"/>
              <w:autoSpaceDN w:val="0"/>
              <w:adjustRightInd w:val="0"/>
              <w:spacing w:after="0" w:line="240" w:lineRule="auto"/>
              <w:rPr>
                <w:sz w:val="20"/>
                <w:szCs w:val="20"/>
              </w:rPr>
            </w:pPr>
            <w:r w:rsidRPr="00A625BA">
              <w:rPr>
                <w:sz w:val="20"/>
                <w:szCs w:val="20"/>
              </w:rPr>
              <w:t>The documents requested by the complainant under the FOI Act being sent to the incorrect postal address, despite the complainant’s notification of the change of address being provided to the NDIA, result</w:t>
            </w:r>
            <w:r>
              <w:rPr>
                <w:sz w:val="20"/>
                <w:szCs w:val="20"/>
              </w:rPr>
              <w:t>ed</w:t>
            </w:r>
            <w:r w:rsidRPr="00A625BA">
              <w:rPr>
                <w:sz w:val="20"/>
                <w:szCs w:val="20"/>
              </w:rPr>
              <w:t xml:space="preserve"> in a failure to comply with s 15(5)(b) of the FOI Act</w:t>
            </w:r>
            <w:r>
              <w:rPr>
                <w:sz w:val="20"/>
                <w:szCs w:val="20"/>
              </w:rPr>
              <w:t>.</w:t>
            </w:r>
          </w:p>
          <w:p w14:paraId="74093837" w14:textId="77777777" w:rsidR="00FF43B9" w:rsidRPr="00D94668" w:rsidRDefault="00FF43B9" w:rsidP="00FF43B9">
            <w:pPr>
              <w:rPr>
                <w:sz w:val="20"/>
                <w:szCs w:val="20"/>
              </w:rPr>
            </w:pPr>
          </w:p>
        </w:tc>
        <w:tc>
          <w:tcPr>
            <w:tcW w:w="5811" w:type="dxa"/>
          </w:tcPr>
          <w:p w14:paraId="20BE9656" w14:textId="6C2A86F6" w:rsidR="00FF43B9" w:rsidRPr="00D94668" w:rsidRDefault="00FF43B9" w:rsidP="00FF43B9">
            <w:pPr>
              <w:spacing w:after="0"/>
              <w:ind w:left="177"/>
              <w:rPr>
                <w:sz w:val="20"/>
                <w:szCs w:val="20"/>
              </w:rPr>
            </w:pPr>
            <w:r>
              <w:rPr>
                <w:sz w:val="20"/>
                <w:szCs w:val="20"/>
              </w:rPr>
              <w:t>No recommendations were made.</w:t>
            </w:r>
          </w:p>
        </w:tc>
        <w:tc>
          <w:tcPr>
            <w:tcW w:w="2127" w:type="dxa"/>
          </w:tcPr>
          <w:p w14:paraId="4A9A1A90" w14:textId="32113613" w:rsidR="00FF43B9" w:rsidRDefault="00FF43B9" w:rsidP="00FF43B9">
            <w:pPr>
              <w:rPr>
                <w:sz w:val="20"/>
                <w:szCs w:val="20"/>
              </w:rPr>
            </w:pPr>
            <w:r>
              <w:rPr>
                <w:sz w:val="20"/>
                <w:szCs w:val="20"/>
              </w:rPr>
              <w:t>Not applicable.</w:t>
            </w:r>
          </w:p>
        </w:tc>
        <w:tc>
          <w:tcPr>
            <w:tcW w:w="1984" w:type="dxa"/>
          </w:tcPr>
          <w:p w14:paraId="14F9DE6E" w14:textId="14C98592" w:rsidR="00FF43B9" w:rsidRDefault="00FF43B9" w:rsidP="00FF43B9">
            <w:pPr>
              <w:rPr>
                <w:sz w:val="20"/>
                <w:szCs w:val="20"/>
              </w:rPr>
            </w:pPr>
            <w:r>
              <w:rPr>
                <w:sz w:val="20"/>
                <w:szCs w:val="20"/>
              </w:rPr>
              <w:t>Not applicable.</w:t>
            </w:r>
          </w:p>
        </w:tc>
      </w:tr>
      <w:tr w:rsidR="00FF43B9" w:rsidRPr="00D94668" w14:paraId="5807241C" w14:textId="77777777" w:rsidTr="0086062E">
        <w:trPr>
          <w:trHeight w:val="2418"/>
        </w:trPr>
        <w:tc>
          <w:tcPr>
            <w:tcW w:w="1888" w:type="dxa"/>
          </w:tcPr>
          <w:p w14:paraId="50F1CB6E" w14:textId="26A98601" w:rsidR="00FF43B9" w:rsidRPr="00705902" w:rsidRDefault="00FF43B9" w:rsidP="00FF43B9">
            <w:pPr>
              <w:rPr>
                <w:sz w:val="20"/>
                <w:szCs w:val="20"/>
              </w:rPr>
            </w:pPr>
            <w:r w:rsidRPr="00705902">
              <w:rPr>
                <w:sz w:val="20"/>
                <w:szCs w:val="20"/>
              </w:rPr>
              <w:t>Australian Skills Quality Authority</w:t>
            </w:r>
          </w:p>
        </w:tc>
        <w:tc>
          <w:tcPr>
            <w:tcW w:w="2223" w:type="dxa"/>
          </w:tcPr>
          <w:p w14:paraId="67161972" w14:textId="31ABD176" w:rsidR="00FF43B9" w:rsidRPr="00D94668" w:rsidRDefault="00FF43B9" w:rsidP="00FF43B9">
            <w:pPr>
              <w:rPr>
                <w:sz w:val="20"/>
                <w:szCs w:val="20"/>
              </w:rPr>
            </w:pPr>
            <w:r>
              <w:rPr>
                <w:sz w:val="20"/>
                <w:szCs w:val="20"/>
              </w:rPr>
              <w:t>Whether required assistance was provided to the applicant during the consultation process</w:t>
            </w:r>
          </w:p>
        </w:tc>
        <w:tc>
          <w:tcPr>
            <w:tcW w:w="1352" w:type="dxa"/>
          </w:tcPr>
          <w:p w14:paraId="55DB1483" w14:textId="4A23FCD0" w:rsidR="00FF43B9" w:rsidRPr="00D94668" w:rsidRDefault="00FF43B9" w:rsidP="00FF43B9">
            <w:pPr>
              <w:rPr>
                <w:sz w:val="20"/>
                <w:szCs w:val="20"/>
              </w:rPr>
            </w:pPr>
            <w:r>
              <w:rPr>
                <w:sz w:val="20"/>
                <w:szCs w:val="20"/>
              </w:rPr>
              <w:t>Non-personal</w:t>
            </w:r>
          </w:p>
        </w:tc>
        <w:tc>
          <w:tcPr>
            <w:tcW w:w="1483" w:type="dxa"/>
          </w:tcPr>
          <w:p w14:paraId="50AEC739" w14:textId="09CD499A" w:rsidR="00FF43B9" w:rsidRPr="00D94668" w:rsidRDefault="00FF43B9" w:rsidP="00FF43B9">
            <w:pPr>
              <w:rPr>
                <w:sz w:val="20"/>
                <w:szCs w:val="20"/>
              </w:rPr>
            </w:pPr>
            <w:r>
              <w:rPr>
                <w:sz w:val="20"/>
                <w:szCs w:val="20"/>
              </w:rPr>
              <w:t>14 June 2022</w:t>
            </w:r>
          </w:p>
        </w:tc>
        <w:tc>
          <w:tcPr>
            <w:tcW w:w="4395" w:type="dxa"/>
          </w:tcPr>
          <w:p w14:paraId="5870DEEF" w14:textId="77777777" w:rsidR="00FF43B9" w:rsidRDefault="00FF43B9" w:rsidP="00FF43B9">
            <w:pPr>
              <w:autoSpaceDE w:val="0"/>
              <w:autoSpaceDN w:val="0"/>
              <w:adjustRightInd w:val="0"/>
              <w:spacing w:after="0" w:line="240" w:lineRule="auto"/>
              <w:rPr>
                <w:sz w:val="20"/>
                <w:szCs w:val="20"/>
              </w:rPr>
            </w:pPr>
            <w:r>
              <w:rPr>
                <w:sz w:val="20"/>
                <w:szCs w:val="20"/>
              </w:rPr>
              <w:t>The</w:t>
            </w:r>
            <w:r w:rsidRPr="00DE44CA">
              <w:rPr>
                <w:sz w:val="20"/>
                <w:szCs w:val="20"/>
              </w:rPr>
              <w:t xml:space="preserve"> purported consultation process was more appropriately considered in the related IC review process. </w:t>
            </w:r>
          </w:p>
          <w:p w14:paraId="7D25687D" w14:textId="77777777" w:rsidR="00FF43B9" w:rsidRDefault="00FF43B9" w:rsidP="00FF43B9">
            <w:pPr>
              <w:autoSpaceDE w:val="0"/>
              <w:autoSpaceDN w:val="0"/>
              <w:adjustRightInd w:val="0"/>
              <w:spacing w:after="0" w:line="240" w:lineRule="auto"/>
              <w:rPr>
                <w:sz w:val="20"/>
                <w:szCs w:val="20"/>
              </w:rPr>
            </w:pPr>
            <w:r w:rsidRPr="00DE44CA">
              <w:rPr>
                <w:sz w:val="20"/>
                <w:szCs w:val="20"/>
              </w:rPr>
              <w:t>ASQA was not under any obligation to conduct a request consultation process under s 24AB of the FOI Act in relation to the internal review application.</w:t>
            </w:r>
          </w:p>
          <w:p w14:paraId="5C1DA32E" w14:textId="1F26894F" w:rsidR="00FF43B9" w:rsidRPr="00D94668" w:rsidRDefault="00FF43B9" w:rsidP="00FF43B9">
            <w:pPr>
              <w:rPr>
                <w:sz w:val="20"/>
                <w:szCs w:val="20"/>
              </w:rPr>
            </w:pPr>
            <w:r w:rsidRPr="00DE44CA">
              <w:rPr>
                <w:sz w:val="20"/>
                <w:szCs w:val="20"/>
              </w:rPr>
              <w:t xml:space="preserve"> </w:t>
            </w:r>
            <w:r>
              <w:rPr>
                <w:sz w:val="20"/>
                <w:szCs w:val="20"/>
              </w:rPr>
              <w:t>The</w:t>
            </w:r>
            <w:r w:rsidRPr="00DE44CA">
              <w:rPr>
                <w:sz w:val="20"/>
                <w:szCs w:val="20"/>
              </w:rPr>
              <w:t xml:space="preserve"> internal review applicant to revise the scope of the request was reasonable in the circumstances.</w:t>
            </w:r>
          </w:p>
        </w:tc>
        <w:tc>
          <w:tcPr>
            <w:tcW w:w="5811" w:type="dxa"/>
          </w:tcPr>
          <w:p w14:paraId="6B4D6B4F" w14:textId="7EEA2DF9" w:rsidR="00FF43B9" w:rsidRDefault="00FF43B9" w:rsidP="00FF43B9">
            <w:pPr>
              <w:spacing w:after="0" w:line="240" w:lineRule="auto"/>
              <w:rPr>
                <w:sz w:val="20"/>
                <w:szCs w:val="20"/>
              </w:rPr>
            </w:pPr>
            <w:r>
              <w:rPr>
                <w:sz w:val="20"/>
                <w:szCs w:val="20"/>
              </w:rPr>
              <w:t xml:space="preserve">Three suggestions were made: </w:t>
            </w:r>
          </w:p>
          <w:p w14:paraId="560ACA2E" w14:textId="46283FF3" w:rsidR="00FF43B9" w:rsidRPr="00CD6527" w:rsidRDefault="00FF43B9" w:rsidP="00FF43B9">
            <w:pPr>
              <w:spacing w:after="0" w:line="240" w:lineRule="auto"/>
              <w:rPr>
                <w:sz w:val="20"/>
                <w:szCs w:val="20"/>
              </w:rPr>
            </w:pPr>
            <w:r>
              <w:rPr>
                <w:sz w:val="20"/>
                <w:szCs w:val="20"/>
              </w:rPr>
              <w:t>Update policies and procedures to include:</w:t>
            </w:r>
          </w:p>
          <w:p w14:paraId="76FB347A" w14:textId="584B9FB4" w:rsidR="00FF43B9" w:rsidRDefault="00FF43B9" w:rsidP="00FF43B9">
            <w:pPr>
              <w:pStyle w:val="ListParagraph"/>
              <w:numPr>
                <w:ilvl w:val="0"/>
                <w:numId w:val="40"/>
              </w:numPr>
              <w:spacing w:after="0" w:line="240" w:lineRule="auto"/>
              <w:ind w:left="747"/>
              <w:rPr>
                <w:sz w:val="20"/>
                <w:szCs w:val="20"/>
              </w:rPr>
            </w:pPr>
            <w:r>
              <w:rPr>
                <w:sz w:val="20"/>
                <w:szCs w:val="20"/>
              </w:rPr>
              <w:t xml:space="preserve">Section </w:t>
            </w:r>
            <w:r w:rsidRPr="00E84A7C">
              <w:rPr>
                <w:sz w:val="20"/>
                <w:szCs w:val="20"/>
              </w:rPr>
              <w:t>24AB of the FOI Act does not apply in the context of an internal review process</w:t>
            </w:r>
            <w:r>
              <w:rPr>
                <w:sz w:val="20"/>
                <w:szCs w:val="20"/>
              </w:rPr>
              <w:t>.</w:t>
            </w:r>
            <w:r w:rsidRPr="00E84A7C">
              <w:rPr>
                <w:sz w:val="20"/>
                <w:szCs w:val="20"/>
              </w:rPr>
              <w:t xml:space="preserve"> </w:t>
            </w:r>
          </w:p>
          <w:p w14:paraId="1E19307F" w14:textId="04B0B413" w:rsidR="00FF43B9" w:rsidRDefault="00FF43B9" w:rsidP="00FF43B9">
            <w:pPr>
              <w:pStyle w:val="ListParagraph"/>
              <w:numPr>
                <w:ilvl w:val="0"/>
                <w:numId w:val="40"/>
              </w:numPr>
              <w:spacing w:after="0" w:line="240" w:lineRule="auto"/>
              <w:ind w:left="747"/>
              <w:rPr>
                <w:sz w:val="20"/>
                <w:szCs w:val="20"/>
              </w:rPr>
            </w:pPr>
            <w:r>
              <w:rPr>
                <w:sz w:val="20"/>
                <w:szCs w:val="20"/>
              </w:rPr>
              <w:t>A</w:t>
            </w:r>
            <w:r w:rsidRPr="00E84A7C">
              <w:rPr>
                <w:sz w:val="20"/>
                <w:szCs w:val="20"/>
              </w:rPr>
              <w:t>n informal consultation process similar to that prescribed by s 24AB generally will, however, be appropriate where an internal review process raises the likelihood of practical refusal under s 24 of the FOI Act</w:t>
            </w:r>
            <w:r>
              <w:rPr>
                <w:sz w:val="20"/>
                <w:szCs w:val="20"/>
              </w:rPr>
              <w:t>.</w:t>
            </w:r>
            <w:r w:rsidRPr="00E84A7C">
              <w:rPr>
                <w:sz w:val="20"/>
                <w:szCs w:val="20"/>
              </w:rPr>
              <w:t xml:space="preserve"> </w:t>
            </w:r>
          </w:p>
          <w:p w14:paraId="780A14DE" w14:textId="2EE56281" w:rsidR="00FF43B9" w:rsidRPr="00D94668" w:rsidRDefault="00FF43B9" w:rsidP="00FF43B9">
            <w:pPr>
              <w:pStyle w:val="ListParagraph"/>
              <w:numPr>
                <w:ilvl w:val="0"/>
                <w:numId w:val="40"/>
              </w:numPr>
              <w:spacing w:after="0" w:line="240" w:lineRule="auto"/>
              <w:ind w:left="747"/>
              <w:rPr>
                <w:sz w:val="20"/>
                <w:szCs w:val="20"/>
              </w:rPr>
            </w:pPr>
            <w:r>
              <w:rPr>
                <w:sz w:val="20"/>
                <w:szCs w:val="20"/>
              </w:rPr>
              <w:t xml:space="preserve">The informal </w:t>
            </w:r>
            <w:r w:rsidRPr="00E84A7C">
              <w:rPr>
                <w:sz w:val="20"/>
                <w:szCs w:val="20"/>
              </w:rPr>
              <w:t>consultation process referred to in (2) above must occur within the period prescribed by s 54C(3) of the FOI Act or such further time, if any, as is allowed under s 54D of the FOI Act</w:t>
            </w:r>
            <w:r>
              <w:rPr>
                <w:sz w:val="20"/>
                <w:szCs w:val="20"/>
              </w:rPr>
              <w:t>.</w:t>
            </w:r>
            <w:r>
              <w:rPr>
                <w:rStyle w:val="FootnoteReference"/>
                <w:sz w:val="20"/>
                <w:szCs w:val="20"/>
              </w:rPr>
              <w:footnoteReference w:id="6"/>
            </w:r>
          </w:p>
        </w:tc>
        <w:tc>
          <w:tcPr>
            <w:tcW w:w="2127" w:type="dxa"/>
          </w:tcPr>
          <w:p w14:paraId="35CF7DD6" w14:textId="77A79571" w:rsidR="00FF43B9" w:rsidRDefault="00FF43B9" w:rsidP="00FF43B9">
            <w:pPr>
              <w:rPr>
                <w:sz w:val="20"/>
                <w:szCs w:val="20"/>
              </w:rPr>
            </w:pPr>
            <w:r>
              <w:rPr>
                <w:sz w:val="20"/>
                <w:szCs w:val="20"/>
              </w:rPr>
              <w:t>Not applicable.</w:t>
            </w:r>
          </w:p>
        </w:tc>
        <w:tc>
          <w:tcPr>
            <w:tcW w:w="1984" w:type="dxa"/>
          </w:tcPr>
          <w:p w14:paraId="741B57E0" w14:textId="0FBA5B24" w:rsidR="00FF43B9" w:rsidRDefault="00FF43B9" w:rsidP="00FF43B9">
            <w:pPr>
              <w:rPr>
                <w:sz w:val="20"/>
                <w:szCs w:val="20"/>
              </w:rPr>
            </w:pPr>
            <w:r>
              <w:rPr>
                <w:sz w:val="20"/>
                <w:szCs w:val="20"/>
              </w:rPr>
              <w:t>Not applicable.</w:t>
            </w:r>
          </w:p>
        </w:tc>
      </w:tr>
      <w:tr w:rsidR="00FF43B9" w:rsidRPr="00D94668" w14:paraId="7C01987E" w14:textId="77777777" w:rsidTr="0086062E">
        <w:trPr>
          <w:trHeight w:val="2418"/>
        </w:trPr>
        <w:tc>
          <w:tcPr>
            <w:tcW w:w="1888" w:type="dxa"/>
          </w:tcPr>
          <w:p w14:paraId="5CB137B6" w14:textId="5E452B57" w:rsidR="00FF43B9" w:rsidRPr="00D94668" w:rsidRDefault="00FF43B9" w:rsidP="00FF43B9">
            <w:pPr>
              <w:rPr>
                <w:sz w:val="20"/>
                <w:szCs w:val="20"/>
              </w:rPr>
            </w:pPr>
            <w:r>
              <w:rPr>
                <w:sz w:val="20"/>
                <w:szCs w:val="20"/>
              </w:rPr>
              <w:t>Veterans’ Review Board</w:t>
            </w:r>
          </w:p>
        </w:tc>
        <w:tc>
          <w:tcPr>
            <w:tcW w:w="2223" w:type="dxa"/>
          </w:tcPr>
          <w:p w14:paraId="459CAE86" w14:textId="5F35E555" w:rsidR="00FF43B9" w:rsidRDefault="00FF43B9" w:rsidP="00FF43B9">
            <w:pPr>
              <w:rPr>
                <w:sz w:val="20"/>
                <w:szCs w:val="20"/>
              </w:rPr>
            </w:pPr>
            <w:r w:rsidRPr="005618A4">
              <w:rPr>
                <w:sz w:val="20"/>
                <w:szCs w:val="20"/>
              </w:rPr>
              <w:t>Compliance with statutory timeframes for processing FOI request</w:t>
            </w:r>
          </w:p>
          <w:p w14:paraId="15B31736" w14:textId="77777777" w:rsidR="00FF43B9" w:rsidRPr="00D94668" w:rsidRDefault="00FF43B9" w:rsidP="00FF43B9">
            <w:pPr>
              <w:rPr>
                <w:sz w:val="20"/>
                <w:szCs w:val="20"/>
              </w:rPr>
            </w:pPr>
          </w:p>
        </w:tc>
        <w:tc>
          <w:tcPr>
            <w:tcW w:w="1352" w:type="dxa"/>
          </w:tcPr>
          <w:p w14:paraId="128E4125" w14:textId="3EF5B2DF" w:rsidR="00FF43B9" w:rsidRPr="00D94668" w:rsidRDefault="00FF43B9" w:rsidP="00FF43B9">
            <w:pPr>
              <w:rPr>
                <w:sz w:val="20"/>
                <w:szCs w:val="20"/>
              </w:rPr>
            </w:pPr>
            <w:r>
              <w:rPr>
                <w:sz w:val="20"/>
                <w:szCs w:val="20"/>
              </w:rPr>
              <w:t>Personal</w:t>
            </w:r>
          </w:p>
        </w:tc>
        <w:tc>
          <w:tcPr>
            <w:tcW w:w="1483" w:type="dxa"/>
          </w:tcPr>
          <w:p w14:paraId="7665E9B3" w14:textId="0567E5B4" w:rsidR="00FF43B9" w:rsidRPr="00D94668" w:rsidRDefault="00FF43B9" w:rsidP="00FF43B9">
            <w:pPr>
              <w:rPr>
                <w:sz w:val="20"/>
                <w:szCs w:val="20"/>
              </w:rPr>
            </w:pPr>
            <w:r>
              <w:rPr>
                <w:sz w:val="20"/>
                <w:szCs w:val="20"/>
              </w:rPr>
              <w:t>14 March 2022</w:t>
            </w:r>
          </w:p>
        </w:tc>
        <w:tc>
          <w:tcPr>
            <w:tcW w:w="4395" w:type="dxa"/>
          </w:tcPr>
          <w:p w14:paraId="0A043287" w14:textId="77777777" w:rsidR="00FF43B9" w:rsidRDefault="00FF43B9" w:rsidP="00FF43B9">
            <w:pPr>
              <w:autoSpaceDE w:val="0"/>
              <w:autoSpaceDN w:val="0"/>
              <w:adjustRightInd w:val="0"/>
              <w:spacing w:after="0" w:line="240" w:lineRule="auto"/>
              <w:rPr>
                <w:sz w:val="20"/>
                <w:szCs w:val="20"/>
              </w:rPr>
            </w:pPr>
            <w:r>
              <w:rPr>
                <w:sz w:val="20"/>
                <w:szCs w:val="20"/>
              </w:rPr>
              <w:t>T</w:t>
            </w:r>
            <w:r w:rsidRPr="00584B4A">
              <w:rPr>
                <w:sz w:val="20"/>
                <w:szCs w:val="20"/>
              </w:rPr>
              <w:t>he VRB did not comply with the statutory processing period</w:t>
            </w:r>
            <w:r>
              <w:rPr>
                <w:sz w:val="20"/>
                <w:szCs w:val="20"/>
              </w:rPr>
              <w:t>.</w:t>
            </w:r>
          </w:p>
          <w:p w14:paraId="5E131B24" w14:textId="77777777" w:rsidR="00FF43B9" w:rsidRDefault="00FF43B9" w:rsidP="00FF43B9">
            <w:pPr>
              <w:autoSpaceDE w:val="0"/>
              <w:autoSpaceDN w:val="0"/>
              <w:adjustRightInd w:val="0"/>
              <w:spacing w:after="0" w:line="240" w:lineRule="auto"/>
              <w:rPr>
                <w:sz w:val="20"/>
                <w:szCs w:val="20"/>
              </w:rPr>
            </w:pPr>
          </w:p>
          <w:p w14:paraId="3EC3803F" w14:textId="1E051377" w:rsidR="00FF43B9" w:rsidRPr="00D94668" w:rsidRDefault="00FF43B9" w:rsidP="00FF43B9">
            <w:pPr>
              <w:rPr>
                <w:sz w:val="20"/>
                <w:szCs w:val="20"/>
              </w:rPr>
            </w:pPr>
            <w:r>
              <w:rPr>
                <w:sz w:val="20"/>
                <w:szCs w:val="20"/>
              </w:rPr>
              <w:t xml:space="preserve">The non-compliance </w:t>
            </w:r>
            <w:r w:rsidRPr="00584B4A">
              <w:rPr>
                <w:sz w:val="20"/>
                <w:szCs w:val="20"/>
              </w:rPr>
              <w:t>was attributable to an isolated IT fault which</w:t>
            </w:r>
            <w:r>
              <w:rPr>
                <w:sz w:val="20"/>
                <w:szCs w:val="20"/>
              </w:rPr>
              <w:t xml:space="preserve"> </w:t>
            </w:r>
            <w:r w:rsidRPr="00584B4A">
              <w:rPr>
                <w:sz w:val="20"/>
                <w:szCs w:val="20"/>
              </w:rPr>
              <w:t>has been rectified, and that once the VRB was made aware of the FOI request by the OAIC, it</w:t>
            </w:r>
            <w:r>
              <w:rPr>
                <w:sz w:val="20"/>
                <w:szCs w:val="20"/>
              </w:rPr>
              <w:t xml:space="preserve"> </w:t>
            </w:r>
            <w:r w:rsidRPr="00584B4A">
              <w:rPr>
                <w:sz w:val="20"/>
                <w:szCs w:val="20"/>
              </w:rPr>
              <w:t>took reasonable steps to process the FOI request.</w:t>
            </w:r>
          </w:p>
        </w:tc>
        <w:tc>
          <w:tcPr>
            <w:tcW w:w="5811" w:type="dxa"/>
          </w:tcPr>
          <w:p w14:paraId="6D1BD36A" w14:textId="6A710DF1" w:rsidR="00FF43B9" w:rsidRPr="00D94668" w:rsidRDefault="00FF43B9" w:rsidP="00FF43B9">
            <w:pPr>
              <w:spacing w:after="0"/>
              <w:ind w:left="177"/>
              <w:rPr>
                <w:sz w:val="20"/>
                <w:szCs w:val="20"/>
              </w:rPr>
            </w:pPr>
            <w:r>
              <w:rPr>
                <w:sz w:val="20"/>
                <w:szCs w:val="20"/>
              </w:rPr>
              <w:t>No recommendations were made.</w:t>
            </w:r>
          </w:p>
        </w:tc>
        <w:tc>
          <w:tcPr>
            <w:tcW w:w="2127" w:type="dxa"/>
          </w:tcPr>
          <w:p w14:paraId="5F8A843D" w14:textId="229EE3CE" w:rsidR="00FF43B9" w:rsidRDefault="00FF43B9" w:rsidP="00FF43B9">
            <w:pPr>
              <w:rPr>
                <w:sz w:val="20"/>
                <w:szCs w:val="20"/>
              </w:rPr>
            </w:pPr>
            <w:r>
              <w:rPr>
                <w:sz w:val="20"/>
                <w:szCs w:val="20"/>
              </w:rPr>
              <w:t>Not applicable.</w:t>
            </w:r>
          </w:p>
        </w:tc>
        <w:tc>
          <w:tcPr>
            <w:tcW w:w="1984" w:type="dxa"/>
          </w:tcPr>
          <w:p w14:paraId="60000661" w14:textId="44962602" w:rsidR="00FF43B9" w:rsidRDefault="00FF43B9" w:rsidP="00FF43B9">
            <w:pPr>
              <w:rPr>
                <w:sz w:val="20"/>
                <w:szCs w:val="20"/>
              </w:rPr>
            </w:pPr>
            <w:r>
              <w:rPr>
                <w:sz w:val="20"/>
                <w:szCs w:val="20"/>
              </w:rPr>
              <w:t>Not applicable.</w:t>
            </w:r>
          </w:p>
        </w:tc>
      </w:tr>
      <w:tr w:rsidR="00FF43B9" w:rsidRPr="00D94668" w14:paraId="56251B9F" w14:textId="77777777" w:rsidTr="0086062E">
        <w:trPr>
          <w:trHeight w:val="2418"/>
        </w:trPr>
        <w:tc>
          <w:tcPr>
            <w:tcW w:w="1888" w:type="dxa"/>
          </w:tcPr>
          <w:p w14:paraId="7C3B706E" w14:textId="1E238F79" w:rsidR="00FF43B9" w:rsidRPr="00D94668" w:rsidRDefault="00FF43B9" w:rsidP="00FF43B9">
            <w:pPr>
              <w:rPr>
                <w:sz w:val="20"/>
                <w:szCs w:val="20"/>
              </w:rPr>
            </w:pPr>
            <w:r w:rsidRPr="00EB233A">
              <w:rPr>
                <w:sz w:val="20"/>
                <w:szCs w:val="20"/>
              </w:rPr>
              <w:lastRenderedPageBreak/>
              <w:t>Australian Trade and Investments Commission</w:t>
            </w:r>
          </w:p>
        </w:tc>
        <w:tc>
          <w:tcPr>
            <w:tcW w:w="2223" w:type="dxa"/>
          </w:tcPr>
          <w:p w14:paraId="0F552B91" w14:textId="46CDC61B" w:rsidR="00FF43B9" w:rsidRPr="00D94668" w:rsidRDefault="00FF43B9" w:rsidP="00FF43B9">
            <w:pPr>
              <w:rPr>
                <w:sz w:val="20"/>
                <w:szCs w:val="20"/>
              </w:rPr>
            </w:pPr>
            <w:r>
              <w:rPr>
                <w:rFonts w:asciiTheme="majorHAnsi" w:hAnsiTheme="majorHAnsi" w:cstheme="minorHAnsi"/>
                <w:sz w:val="20"/>
                <w:szCs w:val="20"/>
              </w:rPr>
              <w:t>E</w:t>
            </w:r>
            <w:r w:rsidRPr="00E10431">
              <w:rPr>
                <w:rFonts w:asciiTheme="majorHAnsi" w:hAnsiTheme="majorHAnsi" w:cstheme="minorHAnsi"/>
                <w:sz w:val="20"/>
                <w:szCs w:val="20"/>
              </w:rPr>
              <w:t>xtending the processing under s</w:t>
            </w:r>
            <w:r>
              <w:rPr>
                <w:rFonts w:asciiTheme="majorHAnsi" w:hAnsiTheme="majorHAnsi" w:cstheme="minorHAnsi"/>
                <w:sz w:val="20"/>
                <w:szCs w:val="20"/>
              </w:rPr>
              <w:t> </w:t>
            </w:r>
            <w:r w:rsidRPr="00E10431">
              <w:rPr>
                <w:rFonts w:asciiTheme="majorHAnsi" w:hAnsiTheme="majorHAnsi" w:cstheme="minorHAnsi"/>
                <w:sz w:val="20"/>
                <w:szCs w:val="20"/>
              </w:rPr>
              <w:t>15(6) of the FOI Act to conduct third party consultation</w:t>
            </w:r>
            <w:r>
              <w:rPr>
                <w:rFonts w:asciiTheme="majorHAnsi" w:hAnsiTheme="majorHAnsi" w:cstheme="minorHAnsi"/>
                <w:sz w:val="20"/>
                <w:szCs w:val="20"/>
              </w:rPr>
              <w:t xml:space="preserve"> and imposing a charge</w:t>
            </w:r>
          </w:p>
        </w:tc>
        <w:tc>
          <w:tcPr>
            <w:tcW w:w="1352" w:type="dxa"/>
          </w:tcPr>
          <w:p w14:paraId="51751A0A" w14:textId="09CC026F" w:rsidR="00FF43B9" w:rsidRPr="00D94668" w:rsidRDefault="00FF43B9" w:rsidP="00FF43B9">
            <w:pPr>
              <w:rPr>
                <w:sz w:val="20"/>
                <w:szCs w:val="20"/>
              </w:rPr>
            </w:pPr>
            <w:r>
              <w:rPr>
                <w:sz w:val="20"/>
                <w:szCs w:val="20"/>
              </w:rPr>
              <w:t>Personal and non-personal</w:t>
            </w:r>
          </w:p>
        </w:tc>
        <w:tc>
          <w:tcPr>
            <w:tcW w:w="1483" w:type="dxa"/>
          </w:tcPr>
          <w:p w14:paraId="1474CC99" w14:textId="205E3025" w:rsidR="00FF43B9" w:rsidRPr="00D94668" w:rsidRDefault="00FF43B9" w:rsidP="00FF43B9">
            <w:pPr>
              <w:rPr>
                <w:sz w:val="20"/>
                <w:szCs w:val="20"/>
              </w:rPr>
            </w:pPr>
            <w:r>
              <w:rPr>
                <w:sz w:val="20"/>
                <w:szCs w:val="20"/>
              </w:rPr>
              <w:t>2 March 2022</w:t>
            </w:r>
          </w:p>
        </w:tc>
        <w:tc>
          <w:tcPr>
            <w:tcW w:w="4395" w:type="dxa"/>
          </w:tcPr>
          <w:p w14:paraId="5FD9D0B0" w14:textId="417F4E34" w:rsidR="00FF43B9" w:rsidRPr="00D94668" w:rsidRDefault="00FF43B9" w:rsidP="00FF43B9">
            <w:pPr>
              <w:rPr>
                <w:sz w:val="20"/>
                <w:szCs w:val="20"/>
              </w:rPr>
            </w:pPr>
            <w:r>
              <w:rPr>
                <w:sz w:val="20"/>
                <w:szCs w:val="20"/>
              </w:rPr>
              <w:t>Complaint not substantiated.</w:t>
            </w:r>
          </w:p>
        </w:tc>
        <w:tc>
          <w:tcPr>
            <w:tcW w:w="5811" w:type="dxa"/>
          </w:tcPr>
          <w:p w14:paraId="4227D83D" w14:textId="7762960F" w:rsidR="00FF43B9" w:rsidRPr="00D94668" w:rsidRDefault="00FF43B9" w:rsidP="00FF43B9">
            <w:pPr>
              <w:spacing w:after="0"/>
              <w:ind w:left="177"/>
              <w:rPr>
                <w:sz w:val="20"/>
                <w:szCs w:val="20"/>
              </w:rPr>
            </w:pPr>
            <w:r>
              <w:rPr>
                <w:sz w:val="20"/>
                <w:szCs w:val="20"/>
              </w:rPr>
              <w:t>No recommendations were made.</w:t>
            </w:r>
          </w:p>
        </w:tc>
        <w:tc>
          <w:tcPr>
            <w:tcW w:w="2127" w:type="dxa"/>
          </w:tcPr>
          <w:p w14:paraId="0D9F7002" w14:textId="3233DE63" w:rsidR="00FF43B9" w:rsidRDefault="00FF43B9" w:rsidP="00FF43B9">
            <w:pPr>
              <w:rPr>
                <w:sz w:val="20"/>
                <w:szCs w:val="20"/>
              </w:rPr>
            </w:pPr>
            <w:r>
              <w:rPr>
                <w:sz w:val="20"/>
                <w:szCs w:val="20"/>
              </w:rPr>
              <w:t>Not applicable.</w:t>
            </w:r>
          </w:p>
        </w:tc>
        <w:tc>
          <w:tcPr>
            <w:tcW w:w="1984" w:type="dxa"/>
          </w:tcPr>
          <w:p w14:paraId="3898BA05" w14:textId="737A591D" w:rsidR="00FF43B9" w:rsidRDefault="00FF43B9" w:rsidP="00FF43B9">
            <w:pPr>
              <w:rPr>
                <w:sz w:val="20"/>
                <w:szCs w:val="20"/>
              </w:rPr>
            </w:pPr>
            <w:r>
              <w:rPr>
                <w:sz w:val="20"/>
                <w:szCs w:val="20"/>
              </w:rPr>
              <w:t>Not applicable.</w:t>
            </w:r>
          </w:p>
        </w:tc>
      </w:tr>
      <w:tr w:rsidR="00FF43B9" w:rsidRPr="00D94668" w14:paraId="7848DBC2" w14:textId="77777777" w:rsidTr="0086062E">
        <w:trPr>
          <w:trHeight w:val="2418"/>
        </w:trPr>
        <w:tc>
          <w:tcPr>
            <w:tcW w:w="1888" w:type="dxa"/>
          </w:tcPr>
          <w:p w14:paraId="235F3D4C" w14:textId="1479BF50" w:rsidR="00FF43B9" w:rsidRPr="00D94668" w:rsidRDefault="00FF43B9" w:rsidP="00FF43B9">
            <w:pPr>
              <w:rPr>
                <w:sz w:val="20"/>
                <w:szCs w:val="20"/>
              </w:rPr>
            </w:pPr>
            <w:r w:rsidRPr="00D26517">
              <w:rPr>
                <w:sz w:val="20"/>
                <w:szCs w:val="20"/>
              </w:rPr>
              <w:t>National Disability Insurance Agency</w:t>
            </w:r>
          </w:p>
        </w:tc>
        <w:tc>
          <w:tcPr>
            <w:tcW w:w="2223" w:type="dxa"/>
          </w:tcPr>
          <w:p w14:paraId="17BF64A7" w14:textId="02E28325" w:rsidR="00FF43B9" w:rsidRPr="00D94668" w:rsidRDefault="00FF43B9" w:rsidP="00FF43B9">
            <w:pPr>
              <w:rPr>
                <w:sz w:val="20"/>
                <w:szCs w:val="20"/>
              </w:rPr>
            </w:pPr>
            <w:r>
              <w:rPr>
                <w:sz w:val="20"/>
                <w:szCs w:val="20"/>
              </w:rPr>
              <w:t>Reasonable assistance provided to the applicant to lodge a valid FOI request</w:t>
            </w:r>
          </w:p>
        </w:tc>
        <w:tc>
          <w:tcPr>
            <w:tcW w:w="1352" w:type="dxa"/>
          </w:tcPr>
          <w:p w14:paraId="24851E8E" w14:textId="6D88D38E" w:rsidR="00FF43B9" w:rsidRPr="00D94668" w:rsidRDefault="00FF43B9" w:rsidP="00FF43B9">
            <w:pPr>
              <w:rPr>
                <w:sz w:val="20"/>
                <w:szCs w:val="20"/>
              </w:rPr>
            </w:pPr>
            <w:r>
              <w:rPr>
                <w:sz w:val="20"/>
                <w:szCs w:val="20"/>
              </w:rPr>
              <w:t>Personal</w:t>
            </w:r>
          </w:p>
        </w:tc>
        <w:tc>
          <w:tcPr>
            <w:tcW w:w="1483" w:type="dxa"/>
          </w:tcPr>
          <w:p w14:paraId="21F1F6CB" w14:textId="03D1BC8E" w:rsidR="00FF43B9" w:rsidRPr="00D94668" w:rsidRDefault="00FF43B9" w:rsidP="00FF43B9">
            <w:pPr>
              <w:rPr>
                <w:sz w:val="20"/>
                <w:szCs w:val="20"/>
              </w:rPr>
            </w:pPr>
            <w:r>
              <w:rPr>
                <w:sz w:val="20"/>
                <w:szCs w:val="20"/>
              </w:rPr>
              <w:t>10 February 2022</w:t>
            </w:r>
          </w:p>
        </w:tc>
        <w:tc>
          <w:tcPr>
            <w:tcW w:w="4395" w:type="dxa"/>
          </w:tcPr>
          <w:p w14:paraId="5A958EFB" w14:textId="09665671" w:rsidR="00FF43B9" w:rsidRPr="00D94668" w:rsidRDefault="00FF43B9" w:rsidP="00FF43B9">
            <w:pPr>
              <w:rPr>
                <w:sz w:val="20"/>
                <w:szCs w:val="20"/>
              </w:rPr>
            </w:pPr>
            <w:r>
              <w:rPr>
                <w:sz w:val="20"/>
                <w:szCs w:val="20"/>
              </w:rPr>
              <w:t>The</w:t>
            </w:r>
            <w:r w:rsidRPr="009A31B5">
              <w:rPr>
                <w:sz w:val="20"/>
                <w:szCs w:val="20"/>
              </w:rPr>
              <w:t xml:space="preserve"> NDIA ha</w:t>
            </w:r>
            <w:r>
              <w:rPr>
                <w:sz w:val="20"/>
                <w:szCs w:val="20"/>
              </w:rPr>
              <w:t>d not</w:t>
            </w:r>
            <w:r w:rsidRPr="009A31B5">
              <w:rPr>
                <w:sz w:val="20"/>
                <w:szCs w:val="20"/>
              </w:rPr>
              <w:t xml:space="preserve"> documented, operationalised processes and procedures to provide reasonable assistance to applicants under s 15(3) of the FOI Act</w:t>
            </w:r>
          </w:p>
        </w:tc>
        <w:tc>
          <w:tcPr>
            <w:tcW w:w="5811" w:type="dxa"/>
          </w:tcPr>
          <w:p w14:paraId="3BF01A34" w14:textId="556F45C3" w:rsidR="00FF43B9" w:rsidRPr="00990073" w:rsidRDefault="00FF43B9" w:rsidP="00FF43B9">
            <w:pPr>
              <w:spacing w:after="0" w:line="240" w:lineRule="auto"/>
              <w:rPr>
                <w:sz w:val="20"/>
                <w:szCs w:val="20"/>
              </w:rPr>
            </w:pPr>
            <w:r>
              <w:rPr>
                <w:sz w:val="20"/>
                <w:szCs w:val="20"/>
              </w:rPr>
              <w:t>Two recommendations were made:</w:t>
            </w:r>
          </w:p>
          <w:p w14:paraId="321B6CE1" w14:textId="7323B553" w:rsidR="00FF43B9" w:rsidRPr="006D61A6" w:rsidRDefault="00FF43B9" w:rsidP="00FF43B9">
            <w:pPr>
              <w:pStyle w:val="ListParagraph"/>
              <w:numPr>
                <w:ilvl w:val="0"/>
                <w:numId w:val="37"/>
              </w:numPr>
              <w:spacing w:after="0" w:line="240" w:lineRule="auto"/>
              <w:rPr>
                <w:sz w:val="20"/>
                <w:szCs w:val="20"/>
              </w:rPr>
            </w:pPr>
            <w:r w:rsidRPr="006D61A6">
              <w:rPr>
                <w:sz w:val="20"/>
                <w:szCs w:val="20"/>
              </w:rPr>
              <w:t>That the NDIA establish, document and operationalise a mechanism whereby individuals who contact the agency by telephone can discuss the complexities of their FOI request or potential FOI request with a suitably qualified officer. That officer may be a member of the FOI team or the NCC.</w:t>
            </w:r>
          </w:p>
          <w:p w14:paraId="612CBF6A" w14:textId="77777777" w:rsidR="00FF43B9" w:rsidRDefault="00FF43B9" w:rsidP="00FF43B9">
            <w:pPr>
              <w:pStyle w:val="ListParagraph"/>
              <w:spacing w:after="0" w:line="240" w:lineRule="auto"/>
              <w:ind w:left="1440"/>
              <w:rPr>
                <w:sz w:val="20"/>
                <w:szCs w:val="20"/>
              </w:rPr>
            </w:pPr>
          </w:p>
          <w:p w14:paraId="369B06BB" w14:textId="2ED1B09B" w:rsidR="00FF43B9" w:rsidRPr="00E74254" w:rsidRDefault="00FF43B9" w:rsidP="00FF43B9">
            <w:pPr>
              <w:pStyle w:val="ListParagraph"/>
              <w:numPr>
                <w:ilvl w:val="0"/>
                <w:numId w:val="37"/>
              </w:numPr>
              <w:spacing w:after="0"/>
              <w:rPr>
                <w:sz w:val="20"/>
                <w:szCs w:val="20"/>
              </w:rPr>
            </w:pPr>
            <w:r w:rsidRPr="00E74254">
              <w:rPr>
                <w:sz w:val="20"/>
                <w:szCs w:val="20"/>
              </w:rPr>
              <w:t>That the NDIA’s website be adjusted to provide clear advice to individuals regarding how they can initiate telephone contact with a suitably qualified officer in relation to their FOI request or their potential FOI request.</w:t>
            </w:r>
          </w:p>
        </w:tc>
        <w:tc>
          <w:tcPr>
            <w:tcW w:w="2127" w:type="dxa"/>
          </w:tcPr>
          <w:p w14:paraId="745DFBB6" w14:textId="72D78285" w:rsidR="00FF43B9" w:rsidRDefault="00FF43B9" w:rsidP="00FF43B9">
            <w:pPr>
              <w:rPr>
                <w:sz w:val="20"/>
                <w:szCs w:val="20"/>
              </w:rPr>
            </w:pPr>
            <w:r>
              <w:rPr>
                <w:rFonts w:eastAsia="Source Sans Pro"/>
                <w:sz w:val="20"/>
                <w:szCs w:val="20"/>
              </w:rPr>
              <w:t xml:space="preserve">Accepted and implemented. </w:t>
            </w:r>
          </w:p>
        </w:tc>
        <w:tc>
          <w:tcPr>
            <w:tcW w:w="1984" w:type="dxa"/>
          </w:tcPr>
          <w:p w14:paraId="548E75C5" w14:textId="3DD46156" w:rsidR="00FF43B9" w:rsidRDefault="00FF43B9" w:rsidP="00FF43B9">
            <w:pPr>
              <w:rPr>
                <w:sz w:val="20"/>
                <w:szCs w:val="20"/>
              </w:rPr>
            </w:pPr>
            <w:r>
              <w:rPr>
                <w:sz w:val="20"/>
                <w:szCs w:val="20"/>
              </w:rPr>
              <w:t xml:space="preserve">No further action to be taken. </w:t>
            </w:r>
          </w:p>
        </w:tc>
      </w:tr>
      <w:tr w:rsidR="00FF43B9" w:rsidRPr="00D94668" w14:paraId="2F567AD1" w14:textId="77777777" w:rsidTr="0086062E">
        <w:trPr>
          <w:trHeight w:val="2418"/>
        </w:trPr>
        <w:tc>
          <w:tcPr>
            <w:tcW w:w="1888" w:type="dxa"/>
          </w:tcPr>
          <w:p w14:paraId="683A783E" w14:textId="03287E51" w:rsidR="00FF43B9" w:rsidRPr="00D26517" w:rsidRDefault="00FF43B9" w:rsidP="00FF43B9">
            <w:pPr>
              <w:rPr>
                <w:sz w:val="20"/>
                <w:szCs w:val="20"/>
              </w:rPr>
            </w:pPr>
            <w:r>
              <w:rPr>
                <w:sz w:val="20"/>
                <w:szCs w:val="20"/>
              </w:rPr>
              <w:t>Services Australia</w:t>
            </w:r>
          </w:p>
        </w:tc>
        <w:tc>
          <w:tcPr>
            <w:tcW w:w="2223" w:type="dxa"/>
          </w:tcPr>
          <w:p w14:paraId="2623DFA8" w14:textId="73D13C6E" w:rsidR="00FF43B9" w:rsidRPr="00D94668" w:rsidRDefault="00FF43B9" w:rsidP="00FF43B9">
            <w:pPr>
              <w:rPr>
                <w:sz w:val="20"/>
                <w:szCs w:val="20"/>
              </w:rPr>
            </w:pPr>
            <w:r w:rsidRPr="00956229">
              <w:rPr>
                <w:sz w:val="20"/>
                <w:szCs w:val="20"/>
              </w:rPr>
              <w:t>Se</w:t>
            </w:r>
            <w:r>
              <w:rPr>
                <w:sz w:val="20"/>
                <w:szCs w:val="20"/>
              </w:rPr>
              <w:t>arch and retrieval processes and identification of documents within the scope of a request</w:t>
            </w:r>
          </w:p>
        </w:tc>
        <w:tc>
          <w:tcPr>
            <w:tcW w:w="1352" w:type="dxa"/>
          </w:tcPr>
          <w:p w14:paraId="4947F08B" w14:textId="6C8CAF4E" w:rsidR="00FF43B9" w:rsidRPr="00D94668" w:rsidRDefault="00FF43B9" w:rsidP="00FF43B9">
            <w:pPr>
              <w:rPr>
                <w:sz w:val="20"/>
                <w:szCs w:val="20"/>
              </w:rPr>
            </w:pPr>
            <w:r>
              <w:rPr>
                <w:sz w:val="20"/>
                <w:szCs w:val="20"/>
              </w:rPr>
              <w:t>Personal</w:t>
            </w:r>
          </w:p>
        </w:tc>
        <w:tc>
          <w:tcPr>
            <w:tcW w:w="1483" w:type="dxa"/>
          </w:tcPr>
          <w:p w14:paraId="67E3ED65" w14:textId="2376BE00" w:rsidR="00FF43B9" w:rsidRPr="00D94668" w:rsidRDefault="00FF43B9" w:rsidP="00FF43B9">
            <w:pPr>
              <w:rPr>
                <w:sz w:val="20"/>
                <w:szCs w:val="20"/>
              </w:rPr>
            </w:pPr>
            <w:r>
              <w:rPr>
                <w:sz w:val="20"/>
                <w:szCs w:val="20"/>
              </w:rPr>
              <w:t>10 February 2022</w:t>
            </w:r>
          </w:p>
        </w:tc>
        <w:tc>
          <w:tcPr>
            <w:tcW w:w="4395" w:type="dxa"/>
          </w:tcPr>
          <w:p w14:paraId="2F0625F7" w14:textId="77777777" w:rsidR="00FF43B9" w:rsidRPr="00956229" w:rsidRDefault="00FF43B9" w:rsidP="00FF43B9">
            <w:pPr>
              <w:autoSpaceDE w:val="0"/>
              <w:autoSpaceDN w:val="0"/>
              <w:adjustRightInd w:val="0"/>
              <w:spacing w:after="0" w:line="240" w:lineRule="auto"/>
              <w:rPr>
                <w:sz w:val="20"/>
                <w:szCs w:val="20"/>
              </w:rPr>
            </w:pPr>
            <w:r w:rsidRPr="00956229">
              <w:rPr>
                <w:sz w:val="20"/>
                <w:szCs w:val="20"/>
              </w:rPr>
              <w:t>At the time of the complainant’s original FOI request, the documented search and retrieval processes that Services Australia had in place did not specifically draw officers’ attention to the requirement to identify relevant call recordings. resulted in the omission of relevant call recordings from the agency’s original FOI decision in this case.</w:t>
            </w:r>
          </w:p>
          <w:p w14:paraId="19EB4368" w14:textId="77777777" w:rsidR="00FF43B9" w:rsidRPr="00956229" w:rsidRDefault="00FF43B9" w:rsidP="00FF43B9">
            <w:pPr>
              <w:autoSpaceDE w:val="0"/>
              <w:autoSpaceDN w:val="0"/>
              <w:adjustRightInd w:val="0"/>
              <w:spacing w:after="0" w:line="240" w:lineRule="auto"/>
              <w:rPr>
                <w:sz w:val="20"/>
                <w:szCs w:val="20"/>
              </w:rPr>
            </w:pPr>
          </w:p>
          <w:p w14:paraId="2E1720EC" w14:textId="7185BBFA" w:rsidR="00FF43B9" w:rsidRPr="00D94668" w:rsidRDefault="00FF43B9" w:rsidP="00FF43B9">
            <w:pPr>
              <w:rPr>
                <w:sz w:val="20"/>
                <w:szCs w:val="20"/>
              </w:rPr>
            </w:pPr>
            <w:r>
              <w:rPr>
                <w:sz w:val="20"/>
                <w:szCs w:val="20"/>
              </w:rPr>
              <w:t>The</w:t>
            </w:r>
            <w:r w:rsidRPr="00956229">
              <w:rPr>
                <w:sz w:val="20"/>
                <w:szCs w:val="20"/>
              </w:rPr>
              <w:t xml:space="preserve"> changes made to Services Australia’s search and retrieval template, to specifically refer to call recordings, will reduce the likelihood of call recordings being omitted from responses to FOI requests made to the agency in the future.</w:t>
            </w:r>
          </w:p>
        </w:tc>
        <w:tc>
          <w:tcPr>
            <w:tcW w:w="5811" w:type="dxa"/>
          </w:tcPr>
          <w:p w14:paraId="0C36ED53" w14:textId="378329DE" w:rsidR="00FF43B9" w:rsidRPr="001E1298" w:rsidRDefault="00FF43B9" w:rsidP="00FF43B9">
            <w:pPr>
              <w:spacing w:after="0"/>
              <w:rPr>
                <w:sz w:val="20"/>
                <w:szCs w:val="20"/>
              </w:rPr>
            </w:pPr>
            <w:r>
              <w:rPr>
                <w:sz w:val="20"/>
                <w:szCs w:val="20"/>
              </w:rPr>
              <w:t>One recommendation was made:</w:t>
            </w:r>
          </w:p>
          <w:p w14:paraId="4856C06C" w14:textId="0F495B0E" w:rsidR="00FF43B9" w:rsidRPr="00AE7F9C" w:rsidRDefault="00FF43B9" w:rsidP="00FF43B9">
            <w:pPr>
              <w:pStyle w:val="ListParagraph"/>
              <w:numPr>
                <w:ilvl w:val="0"/>
                <w:numId w:val="39"/>
              </w:numPr>
              <w:spacing w:after="0"/>
              <w:rPr>
                <w:sz w:val="20"/>
                <w:szCs w:val="20"/>
              </w:rPr>
            </w:pPr>
            <w:r w:rsidRPr="00AE7F9C">
              <w:rPr>
                <w:sz w:val="20"/>
                <w:szCs w:val="20"/>
              </w:rPr>
              <w:t>To review the training provided to officers undertaking search and retrieval activities in response to FOI requests to ensure it includes guidance regarding the requirement to identify and retrieve call recordings in response to FOI requests, and the process for same.</w:t>
            </w:r>
            <w:r>
              <w:rPr>
                <w:rStyle w:val="FootnoteReference"/>
                <w:sz w:val="20"/>
                <w:szCs w:val="20"/>
              </w:rPr>
              <w:footnoteReference w:id="7"/>
            </w:r>
          </w:p>
        </w:tc>
        <w:tc>
          <w:tcPr>
            <w:tcW w:w="2127" w:type="dxa"/>
          </w:tcPr>
          <w:p w14:paraId="4320BC09" w14:textId="060C4268" w:rsidR="00FF43B9" w:rsidRDefault="00FF43B9" w:rsidP="00FF43B9">
            <w:pPr>
              <w:rPr>
                <w:sz w:val="20"/>
                <w:szCs w:val="20"/>
              </w:rPr>
            </w:pPr>
            <w:r>
              <w:rPr>
                <w:rFonts w:eastAsia="Source Sans Pro"/>
                <w:sz w:val="20"/>
                <w:szCs w:val="20"/>
              </w:rPr>
              <w:t>Accepted and implemented.</w:t>
            </w:r>
          </w:p>
        </w:tc>
        <w:tc>
          <w:tcPr>
            <w:tcW w:w="1984" w:type="dxa"/>
          </w:tcPr>
          <w:p w14:paraId="59DA8613" w14:textId="5DBA6B2B" w:rsidR="00FF43B9" w:rsidRDefault="00FF43B9" w:rsidP="00FF43B9">
            <w:pPr>
              <w:rPr>
                <w:sz w:val="20"/>
                <w:szCs w:val="20"/>
              </w:rPr>
            </w:pPr>
            <w:r>
              <w:rPr>
                <w:sz w:val="20"/>
                <w:szCs w:val="20"/>
              </w:rPr>
              <w:t>No further action to be taken.</w:t>
            </w:r>
          </w:p>
        </w:tc>
      </w:tr>
      <w:tr w:rsidR="00FF43B9" w:rsidRPr="00D94668" w14:paraId="30ED624E" w14:textId="77777777" w:rsidTr="0086062E">
        <w:trPr>
          <w:trHeight w:val="2418"/>
        </w:trPr>
        <w:tc>
          <w:tcPr>
            <w:tcW w:w="1888" w:type="dxa"/>
          </w:tcPr>
          <w:p w14:paraId="583056E4" w14:textId="6DEC4444" w:rsidR="00FF43B9" w:rsidRPr="00D26517" w:rsidRDefault="00FF43B9" w:rsidP="00FF43B9">
            <w:pPr>
              <w:rPr>
                <w:sz w:val="20"/>
                <w:szCs w:val="20"/>
              </w:rPr>
            </w:pPr>
            <w:r w:rsidRPr="005618A4">
              <w:rPr>
                <w:sz w:val="20"/>
                <w:szCs w:val="20"/>
              </w:rPr>
              <w:t>Attorney-General’s Department</w:t>
            </w:r>
          </w:p>
        </w:tc>
        <w:tc>
          <w:tcPr>
            <w:tcW w:w="2223" w:type="dxa"/>
          </w:tcPr>
          <w:p w14:paraId="518250E7" w14:textId="33C12447" w:rsidR="00FF43B9" w:rsidRPr="00D94668" w:rsidRDefault="00FF43B9" w:rsidP="00FF43B9">
            <w:pPr>
              <w:rPr>
                <w:sz w:val="20"/>
                <w:szCs w:val="20"/>
              </w:rPr>
            </w:pPr>
            <w:r w:rsidRPr="005618A4">
              <w:rPr>
                <w:rFonts w:asciiTheme="majorHAnsi" w:hAnsiTheme="majorHAnsi" w:cstheme="minorHAnsi"/>
                <w:sz w:val="20"/>
                <w:szCs w:val="20"/>
              </w:rPr>
              <w:t>Acceptance of transfers under s 16 of the FOI Act</w:t>
            </w:r>
          </w:p>
        </w:tc>
        <w:tc>
          <w:tcPr>
            <w:tcW w:w="1352" w:type="dxa"/>
          </w:tcPr>
          <w:p w14:paraId="0F669339" w14:textId="45C32119" w:rsidR="00FF43B9" w:rsidRPr="00D94668" w:rsidRDefault="00FF43B9" w:rsidP="00FF43B9">
            <w:pPr>
              <w:rPr>
                <w:sz w:val="20"/>
                <w:szCs w:val="20"/>
              </w:rPr>
            </w:pPr>
            <w:r w:rsidRPr="005618A4">
              <w:rPr>
                <w:sz w:val="20"/>
                <w:szCs w:val="20"/>
              </w:rPr>
              <w:t>Non-personal</w:t>
            </w:r>
          </w:p>
        </w:tc>
        <w:tc>
          <w:tcPr>
            <w:tcW w:w="1483" w:type="dxa"/>
          </w:tcPr>
          <w:p w14:paraId="6D2ABB5C" w14:textId="64F83CD3" w:rsidR="00FF43B9" w:rsidRPr="00D94668" w:rsidRDefault="00FF43B9" w:rsidP="00FF43B9">
            <w:pPr>
              <w:rPr>
                <w:sz w:val="20"/>
                <w:szCs w:val="20"/>
              </w:rPr>
            </w:pPr>
            <w:r w:rsidRPr="005618A4">
              <w:rPr>
                <w:sz w:val="20"/>
                <w:szCs w:val="20"/>
              </w:rPr>
              <w:t>13 December 2021</w:t>
            </w:r>
          </w:p>
        </w:tc>
        <w:tc>
          <w:tcPr>
            <w:tcW w:w="4395" w:type="dxa"/>
          </w:tcPr>
          <w:p w14:paraId="1B62A778" w14:textId="690635B1" w:rsidR="00FF43B9" w:rsidRPr="00D94668" w:rsidRDefault="00FF43B9" w:rsidP="00FF43B9">
            <w:pPr>
              <w:rPr>
                <w:sz w:val="20"/>
                <w:szCs w:val="20"/>
              </w:rPr>
            </w:pPr>
            <w:r w:rsidRPr="005618A4">
              <w:rPr>
                <w:sz w:val="20"/>
                <w:szCs w:val="20"/>
              </w:rPr>
              <w:t>The Department did not correctly apply the statutory test in s 16(1) of the FOI Act when it agreed to accept the transfer of an FOI request from the Attorney-General.</w:t>
            </w:r>
          </w:p>
        </w:tc>
        <w:tc>
          <w:tcPr>
            <w:tcW w:w="5811" w:type="dxa"/>
          </w:tcPr>
          <w:p w14:paraId="3816CCC3" w14:textId="69BA56AF" w:rsidR="00FF43B9" w:rsidRPr="00D40A7A" w:rsidRDefault="00FF43B9" w:rsidP="00FF43B9">
            <w:pPr>
              <w:spacing w:after="0" w:line="240" w:lineRule="auto"/>
              <w:rPr>
                <w:rFonts w:eastAsia="Times New Roman" w:cs="Times New Roman"/>
                <w:sz w:val="20"/>
                <w:szCs w:val="20"/>
                <w:lang w:eastAsia="ko-KR"/>
              </w:rPr>
            </w:pPr>
            <w:r>
              <w:rPr>
                <w:rFonts w:eastAsia="Times New Roman" w:cs="Times New Roman"/>
                <w:sz w:val="20"/>
                <w:szCs w:val="20"/>
                <w:lang w:eastAsia="ko-KR"/>
              </w:rPr>
              <w:t xml:space="preserve">         Two recommendations were made:</w:t>
            </w:r>
          </w:p>
          <w:p w14:paraId="4B060FB5" w14:textId="127F48C1" w:rsidR="00FF43B9" w:rsidRPr="005618A4" w:rsidRDefault="00FF43B9" w:rsidP="00FF43B9">
            <w:pPr>
              <w:pStyle w:val="ListParagraph"/>
              <w:numPr>
                <w:ilvl w:val="0"/>
                <w:numId w:val="36"/>
              </w:numPr>
              <w:spacing w:after="0" w:line="240" w:lineRule="auto"/>
              <w:rPr>
                <w:rFonts w:eastAsia="Times New Roman" w:cs="Times New Roman"/>
                <w:sz w:val="20"/>
                <w:szCs w:val="20"/>
                <w:lang w:eastAsia="ko-KR"/>
              </w:rPr>
            </w:pPr>
            <w:r w:rsidRPr="005618A4">
              <w:rPr>
                <w:rFonts w:eastAsia="Times New Roman"/>
                <w:sz w:val="20"/>
                <w:szCs w:val="20"/>
              </w:rPr>
              <w:t xml:space="preserve">The Department update its </w:t>
            </w:r>
            <w:r w:rsidRPr="005618A4">
              <w:rPr>
                <w:i/>
                <w:iCs/>
                <w:sz w:val="20"/>
                <w:szCs w:val="20"/>
              </w:rPr>
              <w:t xml:space="preserve">AGD FOI Procedures Manual: Standard procedures for processing FOI requests to the Attorney-General’s Department </w:t>
            </w:r>
            <w:r w:rsidRPr="005618A4">
              <w:rPr>
                <w:rFonts w:eastAsia="Times New Roman"/>
                <w:sz w:val="20"/>
                <w:szCs w:val="20"/>
              </w:rPr>
              <w:t>in relation to the matters required to be considered in accepting the transfer of FOI requests, including but not limited to:</w:t>
            </w:r>
          </w:p>
          <w:p w14:paraId="429573B6" w14:textId="77777777" w:rsidR="00FF43B9" w:rsidRPr="005618A4" w:rsidRDefault="00FF43B9" w:rsidP="00FF43B9">
            <w:pPr>
              <w:pStyle w:val="ListParagraph"/>
              <w:numPr>
                <w:ilvl w:val="0"/>
                <w:numId w:val="79"/>
              </w:numPr>
              <w:spacing w:after="0" w:line="240" w:lineRule="auto"/>
              <w:rPr>
                <w:rFonts w:eastAsia="Times New Roman"/>
                <w:sz w:val="20"/>
                <w:szCs w:val="20"/>
              </w:rPr>
            </w:pPr>
            <w:r w:rsidRPr="005618A4">
              <w:rPr>
                <w:rFonts w:eastAsia="Times New Roman"/>
                <w:sz w:val="20"/>
                <w:szCs w:val="20"/>
              </w:rPr>
              <w:t>whether the transferring agency demonstrated that it took reasonable steps to search for documents that are the subject of the FOI request and the Department is reasonably satisfied that either:</w:t>
            </w:r>
          </w:p>
          <w:p w14:paraId="7A84E89A" w14:textId="77777777" w:rsidR="00FF43B9" w:rsidRPr="005618A4" w:rsidRDefault="00FF43B9" w:rsidP="00FF43B9">
            <w:pPr>
              <w:pStyle w:val="ListParagraph"/>
              <w:numPr>
                <w:ilvl w:val="4"/>
                <w:numId w:val="33"/>
              </w:numPr>
              <w:spacing w:after="0" w:line="240" w:lineRule="auto"/>
              <w:ind w:left="1985" w:hanging="425"/>
              <w:rPr>
                <w:rFonts w:eastAsia="Times New Roman"/>
                <w:sz w:val="20"/>
                <w:szCs w:val="20"/>
              </w:rPr>
            </w:pPr>
            <w:r w:rsidRPr="005618A4">
              <w:rPr>
                <w:rFonts w:eastAsia="Times New Roman"/>
                <w:sz w:val="20"/>
                <w:szCs w:val="20"/>
              </w:rPr>
              <w:lastRenderedPageBreak/>
              <w:t>the transferring agency is not in possession of the documents within the scope of the request (s 16(1)(a)) or</w:t>
            </w:r>
          </w:p>
          <w:p w14:paraId="57DC53D4" w14:textId="77777777" w:rsidR="00FF43B9" w:rsidRPr="005618A4" w:rsidRDefault="00FF43B9" w:rsidP="00FF43B9">
            <w:pPr>
              <w:pStyle w:val="ListParagraph"/>
              <w:numPr>
                <w:ilvl w:val="4"/>
                <w:numId w:val="33"/>
              </w:numPr>
              <w:spacing w:after="0" w:line="240" w:lineRule="auto"/>
              <w:ind w:left="1985" w:hanging="425"/>
              <w:rPr>
                <w:rFonts w:eastAsia="Times New Roman"/>
                <w:sz w:val="20"/>
                <w:szCs w:val="20"/>
              </w:rPr>
            </w:pPr>
            <w:r w:rsidRPr="005618A4">
              <w:rPr>
                <w:rFonts w:eastAsia="Times New Roman"/>
                <w:sz w:val="20"/>
                <w:szCs w:val="20"/>
              </w:rPr>
              <w:t>the transferring agency or minister has indicated why, and the Department agrees, that the subject matter is more closely connected to the functions of the Department (s 16(1)(b))</w:t>
            </w:r>
          </w:p>
          <w:p w14:paraId="3A88DDD5" w14:textId="77777777" w:rsidR="00FF43B9" w:rsidRPr="005618A4" w:rsidRDefault="00FF43B9" w:rsidP="00FF43B9">
            <w:pPr>
              <w:pStyle w:val="ListParagraph"/>
              <w:numPr>
                <w:ilvl w:val="0"/>
                <w:numId w:val="79"/>
              </w:numPr>
              <w:spacing w:after="0" w:line="240" w:lineRule="auto"/>
              <w:rPr>
                <w:rFonts w:eastAsiaTheme="minorEastAsia"/>
                <w:sz w:val="20"/>
                <w:szCs w:val="20"/>
              </w:rPr>
            </w:pPr>
            <w:r w:rsidRPr="005618A4">
              <w:rPr>
                <w:rFonts w:eastAsia="Times New Roman"/>
                <w:sz w:val="20"/>
                <w:szCs w:val="20"/>
              </w:rPr>
              <w:t>where the Department accepts a transfer under s 16(1), it should record the reasons why it has accepted the transfer, including (where relevant) how the agency demonstrated it is not in possession of the documents or why it considers the subject matter to be more closely connected to the functions of the Department</w:t>
            </w:r>
          </w:p>
          <w:p w14:paraId="2FB30AD9" w14:textId="77777777" w:rsidR="00FF43B9" w:rsidRPr="005618A4" w:rsidRDefault="00FF43B9" w:rsidP="00FF43B9">
            <w:pPr>
              <w:pStyle w:val="ListParagraph"/>
              <w:numPr>
                <w:ilvl w:val="0"/>
                <w:numId w:val="79"/>
              </w:numPr>
              <w:spacing w:after="0" w:line="240" w:lineRule="auto"/>
              <w:rPr>
                <w:sz w:val="20"/>
                <w:szCs w:val="20"/>
              </w:rPr>
            </w:pPr>
            <w:r w:rsidRPr="005618A4">
              <w:rPr>
                <w:rFonts w:eastAsia="Times New Roman"/>
                <w:sz w:val="20"/>
                <w:szCs w:val="20"/>
              </w:rPr>
              <w:t xml:space="preserve">the option of transferring or accepting the transfer of part of an FOI request in accordance with s 16(3A) of the FOI Act. </w:t>
            </w:r>
          </w:p>
          <w:p w14:paraId="32BF6190" w14:textId="2E9598FD" w:rsidR="00FF43B9" w:rsidRPr="005A14AD" w:rsidRDefault="00FF43B9" w:rsidP="00FF43B9">
            <w:pPr>
              <w:pStyle w:val="ListParagraph"/>
              <w:numPr>
                <w:ilvl w:val="0"/>
                <w:numId w:val="36"/>
              </w:numPr>
              <w:spacing w:after="0"/>
              <w:rPr>
                <w:sz w:val="20"/>
                <w:szCs w:val="20"/>
              </w:rPr>
            </w:pPr>
            <w:r w:rsidRPr="005A14AD">
              <w:rPr>
                <w:sz w:val="20"/>
                <w:szCs w:val="20"/>
              </w:rPr>
              <w:t>The Department provide a report to the Office of the Australian Information Commissioner (OAIC) on the implementation of the amended procedures relevant to accepting the transfer of FOI requests under s 16 of the FOI Act. This may take the form of a report following a review of matters transferred to the Department to ensure that the amended procedures have been implemented.</w:t>
            </w:r>
          </w:p>
        </w:tc>
        <w:tc>
          <w:tcPr>
            <w:tcW w:w="2127" w:type="dxa"/>
          </w:tcPr>
          <w:p w14:paraId="730EA947" w14:textId="7C1188C5" w:rsidR="00FF43B9" w:rsidRDefault="00FF43B9" w:rsidP="00FF43B9">
            <w:pPr>
              <w:rPr>
                <w:sz w:val="20"/>
                <w:szCs w:val="20"/>
              </w:rPr>
            </w:pPr>
            <w:r>
              <w:rPr>
                <w:rFonts w:eastAsia="Source Sans Pro"/>
                <w:sz w:val="20"/>
                <w:szCs w:val="20"/>
              </w:rPr>
              <w:lastRenderedPageBreak/>
              <w:t>Accepted and implemented.</w:t>
            </w:r>
          </w:p>
        </w:tc>
        <w:tc>
          <w:tcPr>
            <w:tcW w:w="1984" w:type="dxa"/>
          </w:tcPr>
          <w:p w14:paraId="1480EC13" w14:textId="49381244" w:rsidR="00FF43B9" w:rsidRDefault="00FF43B9" w:rsidP="00FF43B9">
            <w:pPr>
              <w:rPr>
                <w:sz w:val="20"/>
                <w:szCs w:val="20"/>
              </w:rPr>
            </w:pPr>
            <w:r>
              <w:rPr>
                <w:sz w:val="20"/>
                <w:szCs w:val="20"/>
              </w:rPr>
              <w:t>No further action to be taken.</w:t>
            </w:r>
          </w:p>
        </w:tc>
      </w:tr>
      <w:tr w:rsidR="00FF43B9" w:rsidRPr="00D94668" w14:paraId="15E63111" w14:textId="77777777" w:rsidTr="0086062E">
        <w:trPr>
          <w:trHeight w:val="2418"/>
        </w:trPr>
        <w:tc>
          <w:tcPr>
            <w:tcW w:w="1888" w:type="dxa"/>
          </w:tcPr>
          <w:p w14:paraId="69F76045" w14:textId="06559A73" w:rsidR="00FF43B9" w:rsidRPr="00D26517" w:rsidRDefault="00FF43B9" w:rsidP="00FF43B9">
            <w:pPr>
              <w:rPr>
                <w:sz w:val="20"/>
                <w:szCs w:val="20"/>
              </w:rPr>
            </w:pPr>
            <w:r>
              <w:rPr>
                <w:sz w:val="20"/>
                <w:szCs w:val="20"/>
              </w:rPr>
              <w:t>Australian Digital Health Agency</w:t>
            </w:r>
          </w:p>
        </w:tc>
        <w:tc>
          <w:tcPr>
            <w:tcW w:w="2223" w:type="dxa"/>
          </w:tcPr>
          <w:p w14:paraId="04C920E8" w14:textId="0994FD2C" w:rsidR="00FF43B9" w:rsidRDefault="00FF43B9" w:rsidP="00FF43B9">
            <w:pPr>
              <w:rPr>
                <w:sz w:val="20"/>
                <w:szCs w:val="20"/>
              </w:rPr>
            </w:pPr>
            <w:r w:rsidRPr="00D94668">
              <w:rPr>
                <w:sz w:val="20"/>
                <w:szCs w:val="20"/>
              </w:rPr>
              <w:t>Acknowledgment of FOI requests in accordance with statutory timeframes</w:t>
            </w:r>
          </w:p>
          <w:p w14:paraId="330024A1" w14:textId="39C9B0EB" w:rsidR="00FF43B9" w:rsidRDefault="00FF43B9" w:rsidP="00FF43B9">
            <w:pPr>
              <w:rPr>
                <w:rFonts w:asciiTheme="majorHAnsi" w:hAnsiTheme="majorHAnsi" w:cstheme="minorHAnsi"/>
                <w:sz w:val="20"/>
                <w:szCs w:val="20"/>
              </w:rPr>
            </w:pPr>
            <w:r>
              <w:rPr>
                <w:rFonts w:asciiTheme="majorHAnsi" w:hAnsiTheme="majorHAnsi" w:cstheme="minorHAnsi"/>
                <w:sz w:val="20"/>
                <w:szCs w:val="20"/>
              </w:rPr>
              <w:t>E</w:t>
            </w:r>
            <w:r w:rsidRPr="00E10431">
              <w:rPr>
                <w:rFonts w:asciiTheme="majorHAnsi" w:hAnsiTheme="majorHAnsi" w:cstheme="minorHAnsi"/>
                <w:sz w:val="20"/>
                <w:szCs w:val="20"/>
              </w:rPr>
              <w:t>xtending the processing under s 15(6) of the FOI Act to conduct third party consultation</w:t>
            </w:r>
          </w:p>
          <w:p w14:paraId="52352D87" w14:textId="02FCDD7D" w:rsidR="00FF43B9" w:rsidRPr="00D94668" w:rsidRDefault="00FF43B9" w:rsidP="00FF43B9">
            <w:pPr>
              <w:rPr>
                <w:sz w:val="20"/>
                <w:szCs w:val="20"/>
              </w:rPr>
            </w:pPr>
            <w:r w:rsidRPr="00E10431">
              <w:rPr>
                <w:rFonts w:asciiTheme="majorHAnsi" w:hAnsiTheme="majorHAnsi" w:cstheme="minorHAnsi"/>
                <w:sz w:val="20"/>
                <w:szCs w:val="20"/>
              </w:rPr>
              <w:t>Delay in responding to FOI request</w:t>
            </w:r>
          </w:p>
        </w:tc>
        <w:tc>
          <w:tcPr>
            <w:tcW w:w="1352" w:type="dxa"/>
          </w:tcPr>
          <w:p w14:paraId="5D20748D" w14:textId="0134A295" w:rsidR="00FF43B9" w:rsidRPr="00D94668" w:rsidRDefault="00FF43B9" w:rsidP="00FF43B9">
            <w:pPr>
              <w:rPr>
                <w:sz w:val="20"/>
                <w:szCs w:val="20"/>
              </w:rPr>
            </w:pPr>
            <w:r>
              <w:rPr>
                <w:sz w:val="20"/>
                <w:szCs w:val="20"/>
              </w:rPr>
              <w:t>Non-personal</w:t>
            </w:r>
          </w:p>
        </w:tc>
        <w:tc>
          <w:tcPr>
            <w:tcW w:w="1483" w:type="dxa"/>
          </w:tcPr>
          <w:p w14:paraId="41241D43" w14:textId="7CB4DF40" w:rsidR="00FF43B9" w:rsidRPr="00D94668" w:rsidRDefault="00FF43B9" w:rsidP="00FF43B9">
            <w:pPr>
              <w:rPr>
                <w:sz w:val="20"/>
                <w:szCs w:val="20"/>
              </w:rPr>
            </w:pPr>
            <w:r>
              <w:rPr>
                <w:sz w:val="20"/>
                <w:szCs w:val="20"/>
              </w:rPr>
              <w:t>2 December 2021</w:t>
            </w:r>
          </w:p>
        </w:tc>
        <w:tc>
          <w:tcPr>
            <w:tcW w:w="4395" w:type="dxa"/>
          </w:tcPr>
          <w:p w14:paraId="17E409AB" w14:textId="77777777" w:rsidR="00FF43B9" w:rsidRPr="006D1CEB" w:rsidRDefault="00FF43B9" w:rsidP="00FF43B9">
            <w:pPr>
              <w:pStyle w:val="ListBullet"/>
              <w:keepNext/>
              <w:numPr>
                <w:ilvl w:val="0"/>
                <w:numId w:val="35"/>
              </w:numPr>
              <w:spacing w:before="60" w:after="60" w:line="240" w:lineRule="auto"/>
              <w:rPr>
                <w:rFonts w:cs="SourceSansPro-Regular"/>
                <w:sz w:val="20"/>
                <w:szCs w:val="20"/>
              </w:rPr>
            </w:pPr>
            <w:r>
              <w:rPr>
                <w:rFonts w:cs="SourceSansPro-Regular"/>
                <w:sz w:val="20"/>
                <w:szCs w:val="20"/>
              </w:rPr>
              <w:t>The</w:t>
            </w:r>
            <w:r w:rsidRPr="006D1CEB">
              <w:rPr>
                <w:sz w:val="20"/>
                <w:szCs w:val="20"/>
              </w:rPr>
              <w:t xml:space="preserve"> ADHA failed to acknowledge </w:t>
            </w:r>
            <w:r>
              <w:rPr>
                <w:sz w:val="20"/>
                <w:szCs w:val="20"/>
              </w:rPr>
              <w:t>one FOI</w:t>
            </w:r>
            <w:r w:rsidRPr="006D1CEB">
              <w:rPr>
                <w:sz w:val="20"/>
                <w:szCs w:val="20"/>
              </w:rPr>
              <w:t xml:space="preserve"> request within the period required by s 15(5)(a) of the FOI Act.</w:t>
            </w:r>
          </w:p>
          <w:p w14:paraId="225398E6" w14:textId="77777777" w:rsidR="00FF43B9" w:rsidRPr="006D1CEB" w:rsidRDefault="00FF43B9" w:rsidP="00FF43B9">
            <w:pPr>
              <w:pStyle w:val="ListBullet"/>
              <w:numPr>
                <w:ilvl w:val="0"/>
                <w:numId w:val="35"/>
              </w:numPr>
              <w:spacing w:before="60" w:after="60" w:line="240" w:lineRule="auto"/>
              <w:rPr>
                <w:rFonts w:cs="Times New Roman"/>
                <w:sz w:val="20"/>
                <w:szCs w:val="20"/>
              </w:rPr>
            </w:pPr>
            <w:r>
              <w:rPr>
                <w:sz w:val="20"/>
                <w:szCs w:val="20"/>
              </w:rPr>
              <w:t>T</w:t>
            </w:r>
            <w:r w:rsidRPr="006D1CEB">
              <w:rPr>
                <w:sz w:val="20"/>
                <w:szCs w:val="20"/>
              </w:rPr>
              <w:t xml:space="preserve">he ADHA reasonably formed the view that consultation with a third party was required and notified the complainant of the extension of the processing period for this purpose as required by the FOI Act. </w:t>
            </w:r>
          </w:p>
          <w:p w14:paraId="7C1D76BC" w14:textId="77777777" w:rsidR="00FF43B9" w:rsidRPr="006D1CEB" w:rsidRDefault="00FF43B9" w:rsidP="00FF43B9">
            <w:pPr>
              <w:pStyle w:val="ListBullet"/>
              <w:numPr>
                <w:ilvl w:val="0"/>
                <w:numId w:val="35"/>
              </w:numPr>
              <w:spacing w:before="60" w:after="60" w:line="240" w:lineRule="auto"/>
              <w:rPr>
                <w:sz w:val="20"/>
                <w:szCs w:val="20"/>
                <w:lang w:eastAsia="ko-KR"/>
              </w:rPr>
            </w:pPr>
            <w:r>
              <w:rPr>
                <w:sz w:val="20"/>
                <w:szCs w:val="20"/>
              </w:rPr>
              <w:t>T</w:t>
            </w:r>
            <w:r w:rsidRPr="006D1CEB">
              <w:rPr>
                <w:sz w:val="20"/>
                <w:szCs w:val="20"/>
              </w:rPr>
              <w:t xml:space="preserve">he ADHA attempted to delay the processing of </w:t>
            </w:r>
            <w:r>
              <w:rPr>
                <w:sz w:val="20"/>
                <w:szCs w:val="20"/>
              </w:rPr>
              <w:t>the FOI request</w:t>
            </w:r>
            <w:r w:rsidRPr="006D1CEB">
              <w:rPr>
                <w:sz w:val="20"/>
                <w:szCs w:val="20"/>
              </w:rPr>
              <w:t xml:space="preserve">, when it corresponded with the complainant to advise them that they must submit a new FOI request to a different email address in order for the request to be valid, when the original request was validly made. </w:t>
            </w:r>
          </w:p>
          <w:p w14:paraId="21837D97" w14:textId="77777777" w:rsidR="00FF43B9" w:rsidRPr="00D94668" w:rsidRDefault="00FF43B9" w:rsidP="00FF43B9">
            <w:pPr>
              <w:rPr>
                <w:sz w:val="20"/>
                <w:szCs w:val="20"/>
              </w:rPr>
            </w:pPr>
          </w:p>
        </w:tc>
        <w:tc>
          <w:tcPr>
            <w:tcW w:w="5811" w:type="dxa"/>
          </w:tcPr>
          <w:p w14:paraId="6B919A24" w14:textId="2027FDF3" w:rsidR="00FF43B9" w:rsidRPr="00644EB4" w:rsidRDefault="00FF43B9" w:rsidP="00FF43B9">
            <w:pPr>
              <w:spacing w:after="0" w:line="240" w:lineRule="auto"/>
              <w:rPr>
                <w:rFonts w:eastAsia="Times New Roman"/>
                <w:sz w:val="20"/>
                <w:szCs w:val="20"/>
              </w:rPr>
            </w:pPr>
            <w:r>
              <w:rPr>
                <w:rFonts w:eastAsia="Times New Roman"/>
                <w:sz w:val="20"/>
                <w:szCs w:val="20"/>
              </w:rPr>
              <w:t xml:space="preserve">          Four recommendations were made:</w:t>
            </w:r>
          </w:p>
          <w:p w14:paraId="64DE5C85" w14:textId="0E0832CD" w:rsidR="00FF43B9" w:rsidRPr="006D1CEB" w:rsidRDefault="00FF43B9" w:rsidP="00FF43B9">
            <w:pPr>
              <w:pStyle w:val="ListParagraph"/>
              <w:numPr>
                <w:ilvl w:val="0"/>
                <w:numId w:val="32"/>
              </w:numPr>
              <w:spacing w:after="0" w:line="240" w:lineRule="auto"/>
              <w:rPr>
                <w:rFonts w:eastAsia="Times New Roman"/>
                <w:sz w:val="20"/>
                <w:szCs w:val="20"/>
              </w:rPr>
            </w:pPr>
            <w:r>
              <w:rPr>
                <w:rFonts w:eastAsia="Times New Roman"/>
                <w:sz w:val="20"/>
                <w:szCs w:val="20"/>
              </w:rPr>
              <w:t xml:space="preserve">The </w:t>
            </w:r>
            <w:r w:rsidRPr="006D1CEB">
              <w:rPr>
                <w:rFonts w:eastAsia="Times New Roman"/>
                <w:sz w:val="20"/>
                <w:szCs w:val="20"/>
              </w:rPr>
              <w:t>ADHA review its internal policies, procedures and practices to clarify that the processing periods for valid FOI requests commence from the day the request is received by the agency, even if the request is not sent to the FOI team until a later day, and that FOI request are not invalid only because they were not sent to the email address specified pursuant to s 15(2A).</w:t>
            </w:r>
          </w:p>
          <w:p w14:paraId="41903E7F" w14:textId="15478DE2" w:rsidR="00FF43B9" w:rsidRPr="006D1CEB" w:rsidRDefault="00FF43B9" w:rsidP="00FF43B9">
            <w:pPr>
              <w:pStyle w:val="ListParagraph"/>
              <w:numPr>
                <w:ilvl w:val="0"/>
                <w:numId w:val="32"/>
              </w:numPr>
              <w:spacing w:after="0" w:line="240" w:lineRule="auto"/>
              <w:rPr>
                <w:rFonts w:eastAsia="Times New Roman"/>
                <w:sz w:val="20"/>
                <w:szCs w:val="20"/>
              </w:rPr>
            </w:pPr>
            <w:r>
              <w:rPr>
                <w:rFonts w:eastAsia="Times New Roman"/>
                <w:sz w:val="20"/>
                <w:szCs w:val="20"/>
              </w:rPr>
              <w:t xml:space="preserve">The </w:t>
            </w:r>
            <w:r w:rsidRPr="006D1CEB">
              <w:rPr>
                <w:rFonts w:eastAsia="Times New Roman"/>
                <w:sz w:val="20"/>
                <w:szCs w:val="20"/>
              </w:rPr>
              <w:t>ADHA review its processes and procedures to ensure that FOI requests are acknowledged within 14 days of receipt and that decisions are provided within the relevant statutory processing period</w:t>
            </w:r>
            <w:r>
              <w:rPr>
                <w:rFonts w:eastAsia="Times New Roman"/>
                <w:sz w:val="20"/>
                <w:szCs w:val="20"/>
              </w:rPr>
              <w:t>.</w:t>
            </w:r>
          </w:p>
          <w:p w14:paraId="55BA625B" w14:textId="77777777" w:rsidR="00FF43B9" w:rsidRPr="006D1CEB" w:rsidRDefault="00FF43B9" w:rsidP="00FF43B9">
            <w:pPr>
              <w:pStyle w:val="ListParagraph"/>
              <w:numPr>
                <w:ilvl w:val="0"/>
                <w:numId w:val="32"/>
              </w:numPr>
              <w:spacing w:after="0" w:line="240" w:lineRule="auto"/>
              <w:rPr>
                <w:rFonts w:eastAsia="Times New Roman"/>
                <w:sz w:val="20"/>
                <w:szCs w:val="20"/>
              </w:rPr>
            </w:pPr>
            <w:r>
              <w:rPr>
                <w:rFonts w:eastAsia="Times New Roman"/>
                <w:sz w:val="20"/>
                <w:szCs w:val="20"/>
              </w:rPr>
              <w:t>The</w:t>
            </w:r>
            <w:r w:rsidRPr="006D1CEB">
              <w:rPr>
                <w:rFonts w:eastAsia="Times New Roman"/>
                <w:sz w:val="20"/>
                <w:szCs w:val="20"/>
              </w:rPr>
              <w:t xml:space="preserve"> Chief Executive Officer issue a statement to all staff, highlighting the ADHA’s obligations under the FOI Act and pro-disclosure emphasis of the Act, this statement should encourage and support staff in meeting their obligations under the FOI Act, to facilitate and promote public access to information, promptly and at the lowest reasonable cost. </w:t>
            </w:r>
          </w:p>
          <w:p w14:paraId="4C75D30F" w14:textId="7EDBF6DB" w:rsidR="00FF43B9" w:rsidRPr="00B250AC" w:rsidRDefault="00FF43B9" w:rsidP="00FF43B9">
            <w:pPr>
              <w:pStyle w:val="ListParagraph"/>
              <w:numPr>
                <w:ilvl w:val="0"/>
                <w:numId w:val="32"/>
              </w:numPr>
              <w:spacing w:after="0" w:line="240" w:lineRule="auto"/>
              <w:rPr>
                <w:rFonts w:eastAsia="Times New Roman"/>
                <w:sz w:val="20"/>
                <w:szCs w:val="20"/>
              </w:rPr>
            </w:pPr>
            <w:r>
              <w:rPr>
                <w:rFonts w:eastAsia="Times New Roman"/>
                <w:sz w:val="20"/>
                <w:szCs w:val="20"/>
              </w:rPr>
              <w:t xml:space="preserve">The </w:t>
            </w:r>
            <w:r w:rsidRPr="006D1CEB">
              <w:rPr>
                <w:rFonts w:eastAsia="Times New Roman"/>
                <w:sz w:val="20"/>
                <w:szCs w:val="20"/>
              </w:rPr>
              <w:t xml:space="preserve">ADHA appoint a member of the Executive to be the agency’s Information Champion, to foster and promote compliance with the objectives and requirements of the FOI Act. </w:t>
            </w:r>
          </w:p>
        </w:tc>
        <w:tc>
          <w:tcPr>
            <w:tcW w:w="2127" w:type="dxa"/>
          </w:tcPr>
          <w:p w14:paraId="5F2ED20B" w14:textId="6F549D2E" w:rsidR="00FF43B9" w:rsidRDefault="00FF43B9" w:rsidP="00FF43B9">
            <w:pPr>
              <w:rPr>
                <w:sz w:val="20"/>
                <w:szCs w:val="20"/>
              </w:rPr>
            </w:pPr>
            <w:r>
              <w:rPr>
                <w:rFonts w:eastAsia="Source Sans Pro"/>
                <w:sz w:val="20"/>
                <w:szCs w:val="20"/>
              </w:rPr>
              <w:t>Accepted and  implemented.</w:t>
            </w:r>
          </w:p>
        </w:tc>
        <w:tc>
          <w:tcPr>
            <w:tcW w:w="1984" w:type="dxa"/>
          </w:tcPr>
          <w:p w14:paraId="223CE9E8" w14:textId="2FE86B15" w:rsidR="00FF43B9" w:rsidRDefault="00FF43B9" w:rsidP="00FF43B9">
            <w:pPr>
              <w:rPr>
                <w:sz w:val="20"/>
                <w:szCs w:val="20"/>
              </w:rPr>
            </w:pPr>
            <w:r>
              <w:rPr>
                <w:sz w:val="20"/>
                <w:szCs w:val="20"/>
              </w:rPr>
              <w:t>No further action to be taken.</w:t>
            </w:r>
          </w:p>
        </w:tc>
      </w:tr>
      <w:tr w:rsidR="00FF43B9" w:rsidRPr="00D94668" w14:paraId="76F96218" w14:textId="77777777" w:rsidTr="0086062E">
        <w:trPr>
          <w:trHeight w:val="2418"/>
        </w:trPr>
        <w:tc>
          <w:tcPr>
            <w:tcW w:w="1888" w:type="dxa"/>
          </w:tcPr>
          <w:p w14:paraId="575D83B8" w14:textId="77777777" w:rsidR="00FF43B9" w:rsidRPr="005618A4" w:rsidRDefault="00FF43B9" w:rsidP="00FF43B9">
            <w:pPr>
              <w:rPr>
                <w:sz w:val="20"/>
                <w:szCs w:val="20"/>
              </w:rPr>
            </w:pPr>
            <w:r w:rsidRPr="005618A4">
              <w:rPr>
                <w:sz w:val="20"/>
                <w:szCs w:val="20"/>
              </w:rPr>
              <w:lastRenderedPageBreak/>
              <w:t>Department of Home Affairs</w:t>
            </w:r>
          </w:p>
          <w:p w14:paraId="1BF5A36B" w14:textId="3992FEAA" w:rsidR="00FF43B9" w:rsidRPr="00D26517" w:rsidRDefault="00FF43B9" w:rsidP="00FF43B9">
            <w:pPr>
              <w:rPr>
                <w:sz w:val="20"/>
                <w:szCs w:val="20"/>
              </w:rPr>
            </w:pPr>
            <w:r w:rsidRPr="005618A4">
              <w:rPr>
                <w:sz w:val="20"/>
                <w:szCs w:val="20"/>
              </w:rPr>
              <w:t>(17 matters)</w:t>
            </w:r>
          </w:p>
        </w:tc>
        <w:tc>
          <w:tcPr>
            <w:tcW w:w="2223" w:type="dxa"/>
          </w:tcPr>
          <w:p w14:paraId="398AFFA3" w14:textId="411D5BD9" w:rsidR="00FF43B9" w:rsidRPr="00D94668" w:rsidRDefault="00FF43B9" w:rsidP="00FF43B9">
            <w:pPr>
              <w:rPr>
                <w:sz w:val="20"/>
                <w:szCs w:val="20"/>
              </w:rPr>
            </w:pPr>
            <w:r w:rsidRPr="005618A4">
              <w:rPr>
                <w:sz w:val="20"/>
                <w:szCs w:val="20"/>
              </w:rPr>
              <w:t>Compliance with statutory timeframes for processing FOI request</w:t>
            </w:r>
          </w:p>
        </w:tc>
        <w:tc>
          <w:tcPr>
            <w:tcW w:w="1352" w:type="dxa"/>
          </w:tcPr>
          <w:p w14:paraId="247DD9CC" w14:textId="065C8F49" w:rsidR="00FF43B9" w:rsidRPr="00D94668" w:rsidRDefault="00FF43B9" w:rsidP="00FF43B9">
            <w:pPr>
              <w:rPr>
                <w:sz w:val="20"/>
                <w:szCs w:val="20"/>
              </w:rPr>
            </w:pPr>
            <w:r w:rsidRPr="005618A4">
              <w:rPr>
                <w:sz w:val="20"/>
                <w:szCs w:val="20"/>
              </w:rPr>
              <w:t>Personal</w:t>
            </w:r>
          </w:p>
        </w:tc>
        <w:tc>
          <w:tcPr>
            <w:tcW w:w="1483" w:type="dxa"/>
          </w:tcPr>
          <w:p w14:paraId="0B1928D3" w14:textId="544B93EA" w:rsidR="00FF43B9" w:rsidRPr="00D94668" w:rsidRDefault="00FF43B9" w:rsidP="00FF43B9">
            <w:pPr>
              <w:rPr>
                <w:sz w:val="20"/>
                <w:szCs w:val="20"/>
              </w:rPr>
            </w:pPr>
            <w:r w:rsidRPr="005618A4">
              <w:rPr>
                <w:sz w:val="20"/>
                <w:szCs w:val="20"/>
              </w:rPr>
              <w:t>25 November 2021</w:t>
            </w:r>
          </w:p>
        </w:tc>
        <w:tc>
          <w:tcPr>
            <w:tcW w:w="4395" w:type="dxa"/>
          </w:tcPr>
          <w:p w14:paraId="5F3FE597" w14:textId="607550EE" w:rsidR="00FF43B9" w:rsidRPr="00D94668" w:rsidRDefault="00FF43B9" w:rsidP="00FF43B9">
            <w:pPr>
              <w:rPr>
                <w:sz w:val="20"/>
                <w:szCs w:val="20"/>
              </w:rPr>
            </w:pPr>
            <w:r w:rsidRPr="005618A4">
              <w:rPr>
                <w:sz w:val="20"/>
                <w:szCs w:val="20"/>
              </w:rPr>
              <w:t>The Department did not comply with the statutory processing period.</w:t>
            </w:r>
          </w:p>
        </w:tc>
        <w:tc>
          <w:tcPr>
            <w:tcW w:w="5811" w:type="dxa"/>
          </w:tcPr>
          <w:p w14:paraId="2A9DFC69" w14:textId="4EF696BB" w:rsidR="00FF43B9" w:rsidRPr="006456A9" w:rsidRDefault="00FF43B9" w:rsidP="00FF43B9">
            <w:pPr>
              <w:pStyle w:val="ListNumber"/>
              <w:numPr>
                <w:ilvl w:val="0"/>
                <w:numId w:val="0"/>
              </w:numPr>
              <w:spacing w:before="0" w:after="0" w:line="240" w:lineRule="auto"/>
              <w:ind w:left="284" w:hanging="284"/>
              <w:rPr>
                <w:rFonts w:eastAsiaTheme="minorEastAsia" w:cs="Times New Roman"/>
                <w:sz w:val="20"/>
                <w:szCs w:val="20"/>
                <w:lang w:eastAsia="ko-KR"/>
              </w:rPr>
            </w:pPr>
            <w:r>
              <w:rPr>
                <w:rFonts w:eastAsiaTheme="minorEastAsia" w:cs="Times New Roman"/>
                <w:sz w:val="20"/>
                <w:szCs w:val="20"/>
                <w:lang w:eastAsia="ko-KR"/>
              </w:rPr>
              <w:t>Four recommendations were made:</w:t>
            </w:r>
          </w:p>
          <w:p w14:paraId="05050281" w14:textId="6A6B1F55" w:rsidR="00FF43B9" w:rsidRPr="00E10431" w:rsidRDefault="00FF43B9" w:rsidP="00FF43B9">
            <w:pPr>
              <w:pStyle w:val="ListNumber"/>
              <w:numPr>
                <w:ilvl w:val="0"/>
                <w:numId w:val="34"/>
              </w:numPr>
              <w:spacing w:before="0" w:after="0" w:line="240" w:lineRule="auto"/>
              <w:rPr>
                <w:rFonts w:eastAsiaTheme="minorEastAsia" w:cs="Times New Roman"/>
                <w:sz w:val="20"/>
                <w:szCs w:val="20"/>
                <w:lang w:eastAsia="ko-KR"/>
              </w:rPr>
            </w:pPr>
            <w:r w:rsidRPr="00E10431">
              <w:rPr>
                <w:sz w:val="20"/>
                <w:szCs w:val="20"/>
              </w:rPr>
              <w:t>The Department prepare and implement an operational manual for processing FOI requests for personal information to be approved by the Information Champion</w:t>
            </w:r>
            <w:r w:rsidRPr="00E10431">
              <w:rPr>
                <w:b/>
                <w:bCs/>
                <w:sz w:val="20"/>
                <w:szCs w:val="20"/>
              </w:rPr>
              <w:t xml:space="preserve">. </w:t>
            </w:r>
            <w:r w:rsidRPr="00E10431">
              <w:rPr>
                <w:sz w:val="20"/>
                <w:szCs w:val="20"/>
              </w:rPr>
              <w:t xml:space="preserve"> The operational manual is to include, at a minimum, the steps that will be taken to ensure compliance with statutory processing requirements. </w:t>
            </w:r>
            <w:r w:rsidRPr="00E10431">
              <w:rPr>
                <w:rFonts w:ascii="Source Sans Pro" w:hAnsi="Source Sans Pro" w:cs="Source Sans Pro"/>
                <w:sz w:val="20"/>
                <w:szCs w:val="20"/>
              </w:rPr>
              <w:t>Consistent with the requirements of the Information Publication Scheme, the operational manual should be made publicly available by the Department on its website.</w:t>
            </w:r>
          </w:p>
          <w:p w14:paraId="2C3DC3B0" w14:textId="77777777" w:rsidR="00FF43B9" w:rsidRPr="005618A4" w:rsidRDefault="00FF43B9" w:rsidP="00FF43B9">
            <w:pPr>
              <w:pStyle w:val="ListNumber"/>
              <w:numPr>
                <w:ilvl w:val="0"/>
                <w:numId w:val="34"/>
              </w:numPr>
              <w:spacing w:before="0" w:after="0" w:line="240" w:lineRule="auto"/>
              <w:rPr>
                <w:sz w:val="20"/>
                <w:szCs w:val="20"/>
              </w:rPr>
            </w:pPr>
            <w:r w:rsidRPr="005618A4">
              <w:rPr>
                <w:rFonts w:cs="SourceSansPro-Regular"/>
                <w:iCs/>
                <w:color w:val="000000"/>
                <w:sz w:val="20"/>
                <w:szCs w:val="20"/>
              </w:rPr>
              <w:t xml:space="preserve">The Department ascertain the additional resources (human or otherwise) anticipated to be required in order to meet statutory timeframes (taking account of the improvements through implementing recommendation 1) and provide an action plan to meet those requirements.  </w:t>
            </w:r>
          </w:p>
          <w:p w14:paraId="588912F3" w14:textId="77777777" w:rsidR="00FF43B9" w:rsidRPr="005618A4" w:rsidRDefault="00FF43B9" w:rsidP="00FF43B9">
            <w:pPr>
              <w:pStyle w:val="ListNumber"/>
              <w:keepNext/>
              <w:numPr>
                <w:ilvl w:val="0"/>
                <w:numId w:val="34"/>
              </w:numPr>
              <w:spacing w:before="0" w:after="0" w:line="240" w:lineRule="auto"/>
              <w:rPr>
                <w:sz w:val="20"/>
                <w:szCs w:val="20"/>
              </w:rPr>
            </w:pPr>
            <w:r w:rsidRPr="005618A4">
              <w:rPr>
                <w:rFonts w:cs="SourceSansPro-Regular"/>
                <w:color w:val="000000"/>
                <w:sz w:val="20"/>
                <w:szCs w:val="20"/>
              </w:rPr>
              <w:t>The Department:</w:t>
            </w:r>
          </w:p>
          <w:p w14:paraId="1DA8D037" w14:textId="77777777" w:rsidR="00FF43B9" w:rsidRPr="005618A4" w:rsidRDefault="00FF43B9" w:rsidP="00FF43B9">
            <w:pPr>
              <w:pStyle w:val="ListNumber2"/>
              <w:keepNext/>
              <w:numPr>
                <w:ilvl w:val="1"/>
                <w:numId w:val="80"/>
              </w:numPr>
              <w:spacing w:before="0" w:after="0" w:line="240" w:lineRule="auto"/>
              <w:rPr>
                <w:sz w:val="20"/>
                <w:szCs w:val="20"/>
              </w:rPr>
            </w:pPr>
            <w:r w:rsidRPr="005618A4">
              <w:rPr>
                <w:rFonts w:cs="SourceSansPro-Regular"/>
                <w:color w:val="000000"/>
                <w:sz w:val="20"/>
                <w:szCs w:val="20"/>
              </w:rPr>
              <w:t>undertake and complete training on the operational manual for FOI Section staff and other staff (both decision makers and other staff who assist decision makers).</w:t>
            </w:r>
          </w:p>
          <w:p w14:paraId="7048A2F2" w14:textId="77777777" w:rsidR="00FF43B9" w:rsidRPr="005618A4" w:rsidRDefault="00FF43B9" w:rsidP="00FF43B9">
            <w:pPr>
              <w:pStyle w:val="ListNumber2"/>
              <w:keepNext/>
              <w:numPr>
                <w:ilvl w:val="1"/>
                <w:numId w:val="80"/>
              </w:numPr>
              <w:spacing w:before="0" w:after="0" w:line="240" w:lineRule="auto"/>
              <w:rPr>
                <w:sz w:val="20"/>
                <w:szCs w:val="20"/>
              </w:rPr>
            </w:pPr>
            <w:r w:rsidRPr="005618A4">
              <w:rPr>
                <w:rFonts w:cs="SourceSansPro-Regular"/>
                <w:color w:val="000000"/>
                <w:sz w:val="20"/>
                <w:szCs w:val="20"/>
              </w:rPr>
              <w:t>ensure that online training in processing FOI requests for personal information is available to all staff of the Department, and</w:t>
            </w:r>
          </w:p>
          <w:p w14:paraId="2DA01D5E" w14:textId="77777777" w:rsidR="00FF43B9" w:rsidRPr="005618A4" w:rsidRDefault="00FF43B9" w:rsidP="00FF43B9">
            <w:pPr>
              <w:pStyle w:val="ListNumber2"/>
              <w:numPr>
                <w:ilvl w:val="1"/>
                <w:numId w:val="80"/>
              </w:numPr>
              <w:spacing w:before="0" w:after="0" w:line="240" w:lineRule="auto"/>
              <w:rPr>
                <w:sz w:val="20"/>
                <w:szCs w:val="20"/>
              </w:rPr>
            </w:pPr>
            <w:r w:rsidRPr="005618A4">
              <w:rPr>
                <w:rFonts w:cs="SourceSansPro-Regular"/>
                <w:color w:val="000000"/>
                <w:sz w:val="20"/>
                <w:szCs w:val="20"/>
              </w:rPr>
              <w:t>ensure that new staff joining the FOI Section are trained in relation to the operational manual within 2 weeks of commencing in the FOI Section.</w:t>
            </w:r>
          </w:p>
          <w:p w14:paraId="3157C1E0" w14:textId="79BC1914" w:rsidR="00FF43B9" w:rsidRPr="00240B69" w:rsidRDefault="00FF43B9" w:rsidP="00FF43B9">
            <w:pPr>
              <w:pStyle w:val="ListNumber"/>
              <w:numPr>
                <w:ilvl w:val="0"/>
                <w:numId w:val="34"/>
              </w:numPr>
              <w:spacing w:after="0"/>
              <w:rPr>
                <w:sz w:val="20"/>
                <w:szCs w:val="20"/>
              </w:rPr>
            </w:pPr>
            <w:r w:rsidRPr="00240B69">
              <w:rPr>
                <w:rFonts w:cs="SourceSansPro-Regular"/>
                <w:iCs/>
                <w:color w:val="000000"/>
                <w:sz w:val="20"/>
                <w:szCs w:val="20"/>
              </w:rPr>
              <w:t>The Department undertake an audit of the processing of FOI requests for personal information to assess whether Recommendations 1, 2</w:t>
            </w:r>
            <w:r w:rsidRPr="00240B69">
              <w:rPr>
                <w:rFonts w:cs="SourceSansPro-Regular"/>
                <w:b/>
                <w:bCs/>
                <w:iCs/>
                <w:color w:val="000000"/>
                <w:sz w:val="20"/>
                <w:szCs w:val="20"/>
              </w:rPr>
              <w:t xml:space="preserve"> </w:t>
            </w:r>
            <w:r w:rsidRPr="00240B69">
              <w:rPr>
                <w:rFonts w:cs="SourceSansPro-Regular"/>
                <w:iCs/>
                <w:color w:val="000000"/>
                <w:sz w:val="20"/>
                <w:szCs w:val="20"/>
              </w:rPr>
              <w:t>and 3</w:t>
            </w:r>
            <w:r w:rsidRPr="00240B69">
              <w:rPr>
                <w:rFonts w:cs="SourceSansPro-Regular"/>
                <w:b/>
                <w:bCs/>
                <w:iCs/>
                <w:color w:val="000000"/>
                <w:sz w:val="20"/>
                <w:szCs w:val="20"/>
              </w:rPr>
              <w:t xml:space="preserve"> </w:t>
            </w:r>
            <w:r w:rsidRPr="00240B69">
              <w:rPr>
                <w:rFonts w:cs="SourceSansPro-Regular"/>
                <w:iCs/>
                <w:color w:val="000000"/>
                <w:sz w:val="20"/>
                <w:szCs w:val="20"/>
              </w:rPr>
              <w:t>have been implemented and operationalised and whether those actions have been sufficient to address the issues identified in these complaints. The audit is to be undertaken by either the Department’s internal auditors or by an external auditor, as determined by the Department. A copy of the audit report should be provided to the OAIC.</w:t>
            </w:r>
          </w:p>
        </w:tc>
        <w:tc>
          <w:tcPr>
            <w:tcW w:w="2127" w:type="dxa"/>
          </w:tcPr>
          <w:p w14:paraId="0EB5770F" w14:textId="722C190E" w:rsidR="00FF43B9" w:rsidRDefault="00FF43B9" w:rsidP="00FF43B9">
            <w:pPr>
              <w:rPr>
                <w:sz w:val="20"/>
                <w:szCs w:val="20"/>
              </w:rPr>
            </w:pPr>
            <w:r>
              <w:rPr>
                <w:rFonts w:eastAsia="Source Sans Pro"/>
                <w:sz w:val="20"/>
                <w:szCs w:val="20"/>
              </w:rPr>
              <w:t>Noted by the Department.</w:t>
            </w:r>
          </w:p>
        </w:tc>
        <w:tc>
          <w:tcPr>
            <w:tcW w:w="1984" w:type="dxa"/>
          </w:tcPr>
          <w:p w14:paraId="62A53544" w14:textId="77777777" w:rsidR="00FF43B9" w:rsidRDefault="00FF43B9" w:rsidP="00FF43B9">
            <w:pPr>
              <w:rPr>
                <w:sz w:val="20"/>
                <w:szCs w:val="20"/>
              </w:rPr>
            </w:pPr>
          </w:p>
        </w:tc>
      </w:tr>
      <w:tr w:rsidR="00FF43B9" w:rsidRPr="00D94668" w14:paraId="0BCDA36B" w14:textId="77777777" w:rsidTr="0086062E">
        <w:trPr>
          <w:trHeight w:val="2418"/>
        </w:trPr>
        <w:tc>
          <w:tcPr>
            <w:tcW w:w="1888" w:type="dxa"/>
          </w:tcPr>
          <w:p w14:paraId="3695E343" w14:textId="725F95B4" w:rsidR="00FF43B9" w:rsidRPr="00D26517" w:rsidRDefault="00FF43B9" w:rsidP="00FF43B9">
            <w:pPr>
              <w:rPr>
                <w:sz w:val="20"/>
                <w:szCs w:val="20"/>
              </w:rPr>
            </w:pPr>
            <w:r>
              <w:rPr>
                <w:sz w:val="20"/>
                <w:szCs w:val="20"/>
              </w:rPr>
              <w:t>Department of Foreign Affairs</w:t>
            </w:r>
          </w:p>
        </w:tc>
        <w:tc>
          <w:tcPr>
            <w:tcW w:w="2223" w:type="dxa"/>
          </w:tcPr>
          <w:p w14:paraId="1A839BBB" w14:textId="117CFCD9" w:rsidR="00FF43B9" w:rsidRPr="00AE327A" w:rsidRDefault="00FF43B9" w:rsidP="00FF43B9">
            <w:pPr>
              <w:rPr>
                <w:rFonts w:asciiTheme="majorHAnsi" w:hAnsiTheme="majorHAnsi" w:cstheme="minorHAnsi"/>
                <w:sz w:val="20"/>
                <w:szCs w:val="20"/>
              </w:rPr>
            </w:pPr>
            <w:r w:rsidRPr="00AE327A">
              <w:rPr>
                <w:rFonts w:asciiTheme="majorHAnsi" w:hAnsiTheme="majorHAnsi" w:cstheme="minorHAnsi"/>
                <w:sz w:val="20"/>
                <w:szCs w:val="20"/>
              </w:rPr>
              <w:t>Compliance with statutory processing periods</w:t>
            </w:r>
          </w:p>
          <w:p w14:paraId="45FA1C31" w14:textId="5E522C5E" w:rsidR="00FF43B9" w:rsidRPr="00AE327A" w:rsidRDefault="00FF43B9" w:rsidP="00FF43B9">
            <w:pPr>
              <w:rPr>
                <w:rFonts w:asciiTheme="majorHAnsi" w:hAnsiTheme="majorHAnsi" w:cstheme="minorHAnsi"/>
                <w:sz w:val="20"/>
                <w:szCs w:val="20"/>
              </w:rPr>
            </w:pPr>
            <w:r w:rsidRPr="00AE327A">
              <w:rPr>
                <w:rFonts w:asciiTheme="majorHAnsi" w:hAnsiTheme="majorHAnsi" w:cstheme="minorHAnsi"/>
                <w:sz w:val="20"/>
                <w:szCs w:val="20"/>
              </w:rPr>
              <w:t>Administrative access arrangements</w:t>
            </w:r>
          </w:p>
          <w:p w14:paraId="271853AD" w14:textId="67F5DDFD" w:rsidR="00FF43B9" w:rsidRPr="00AE327A" w:rsidRDefault="00FF43B9" w:rsidP="00FF43B9">
            <w:pPr>
              <w:rPr>
                <w:rFonts w:asciiTheme="majorHAnsi" w:hAnsiTheme="majorHAnsi" w:cstheme="minorHAnsi"/>
                <w:sz w:val="20"/>
                <w:szCs w:val="20"/>
              </w:rPr>
            </w:pPr>
            <w:r w:rsidRPr="00AE327A">
              <w:rPr>
                <w:rFonts w:asciiTheme="majorHAnsi" w:hAnsiTheme="majorHAnsi" w:cstheme="minorHAnsi"/>
                <w:sz w:val="20"/>
                <w:szCs w:val="20"/>
              </w:rPr>
              <w:t>Exercising a discretion to impose a charge</w:t>
            </w:r>
          </w:p>
          <w:p w14:paraId="2F3C64B2" w14:textId="2AFA8610" w:rsidR="00FF43B9" w:rsidRPr="00D94668" w:rsidRDefault="00FF43B9" w:rsidP="00FF43B9">
            <w:pPr>
              <w:rPr>
                <w:sz w:val="20"/>
                <w:szCs w:val="20"/>
              </w:rPr>
            </w:pPr>
            <w:r w:rsidRPr="00AE327A">
              <w:rPr>
                <w:rFonts w:asciiTheme="majorHAnsi" w:hAnsiTheme="majorHAnsi" w:cstheme="minorHAnsi"/>
                <w:sz w:val="20"/>
                <w:szCs w:val="20"/>
              </w:rPr>
              <w:t>Incorrect refund form provided</w:t>
            </w:r>
          </w:p>
        </w:tc>
        <w:tc>
          <w:tcPr>
            <w:tcW w:w="1352" w:type="dxa"/>
          </w:tcPr>
          <w:p w14:paraId="3AEFD4F6" w14:textId="60783286" w:rsidR="00FF43B9" w:rsidRPr="00D94668" w:rsidRDefault="00FF43B9" w:rsidP="00FF43B9">
            <w:pPr>
              <w:rPr>
                <w:sz w:val="20"/>
                <w:szCs w:val="20"/>
              </w:rPr>
            </w:pPr>
            <w:r>
              <w:rPr>
                <w:sz w:val="20"/>
                <w:szCs w:val="20"/>
              </w:rPr>
              <w:t>Non-personal</w:t>
            </w:r>
          </w:p>
        </w:tc>
        <w:tc>
          <w:tcPr>
            <w:tcW w:w="1483" w:type="dxa"/>
          </w:tcPr>
          <w:p w14:paraId="1DC9A21C" w14:textId="1E7BCBCF" w:rsidR="00FF43B9" w:rsidRPr="00D94668" w:rsidRDefault="00FF43B9" w:rsidP="00FF43B9">
            <w:pPr>
              <w:rPr>
                <w:sz w:val="20"/>
                <w:szCs w:val="20"/>
              </w:rPr>
            </w:pPr>
            <w:r>
              <w:rPr>
                <w:sz w:val="20"/>
                <w:szCs w:val="20"/>
              </w:rPr>
              <w:t>11 November 2021</w:t>
            </w:r>
          </w:p>
        </w:tc>
        <w:tc>
          <w:tcPr>
            <w:tcW w:w="4395" w:type="dxa"/>
          </w:tcPr>
          <w:p w14:paraId="704B1222" w14:textId="77777777" w:rsidR="00FF43B9" w:rsidRDefault="00FF43B9" w:rsidP="00FF43B9">
            <w:pPr>
              <w:pStyle w:val="Default"/>
              <w:rPr>
                <w:rFonts w:asciiTheme="minorHAnsi" w:hAnsiTheme="minorHAnsi" w:cstheme="minorBidi"/>
                <w:color w:val="auto"/>
                <w:sz w:val="20"/>
                <w:szCs w:val="20"/>
                <w:lang w:val="en-AU"/>
              </w:rPr>
            </w:pPr>
            <w:r>
              <w:rPr>
                <w:rFonts w:asciiTheme="minorHAnsi" w:hAnsiTheme="minorHAnsi" w:cstheme="minorBidi"/>
                <w:color w:val="auto"/>
                <w:sz w:val="20"/>
                <w:szCs w:val="20"/>
                <w:lang w:val="en-AU"/>
              </w:rPr>
              <w:t>The Department did not comply with the statutory processing period.</w:t>
            </w:r>
          </w:p>
          <w:p w14:paraId="0B03852F" w14:textId="77777777" w:rsidR="00FF43B9" w:rsidRDefault="00FF43B9" w:rsidP="00FF43B9">
            <w:pPr>
              <w:pStyle w:val="Default"/>
              <w:rPr>
                <w:rFonts w:asciiTheme="minorHAnsi" w:hAnsiTheme="minorHAnsi" w:cstheme="minorBidi"/>
                <w:color w:val="auto"/>
                <w:sz w:val="20"/>
                <w:szCs w:val="20"/>
                <w:lang w:val="en-AU"/>
              </w:rPr>
            </w:pPr>
          </w:p>
          <w:p w14:paraId="21192608" w14:textId="77777777" w:rsidR="00FF43B9" w:rsidRDefault="00FF43B9" w:rsidP="00FF43B9">
            <w:pPr>
              <w:pStyle w:val="Default"/>
              <w:rPr>
                <w:rFonts w:asciiTheme="minorHAnsi" w:hAnsiTheme="minorHAnsi" w:cstheme="minorBidi"/>
                <w:color w:val="auto"/>
                <w:sz w:val="20"/>
                <w:szCs w:val="20"/>
                <w:lang w:val="en-AU"/>
              </w:rPr>
            </w:pPr>
            <w:r>
              <w:rPr>
                <w:rFonts w:asciiTheme="minorHAnsi" w:hAnsiTheme="minorHAnsi" w:cstheme="minorBidi"/>
                <w:color w:val="auto"/>
                <w:sz w:val="20"/>
                <w:szCs w:val="20"/>
                <w:lang w:val="en-AU"/>
              </w:rPr>
              <w:t>No adverse findings or recommendations made in relation to remaining issues.</w:t>
            </w:r>
          </w:p>
          <w:p w14:paraId="5B5CBD40" w14:textId="77777777" w:rsidR="00FF43B9" w:rsidRPr="00D94668" w:rsidRDefault="00FF43B9" w:rsidP="00FF43B9">
            <w:pPr>
              <w:rPr>
                <w:sz w:val="20"/>
                <w:szCs w:val="20"/>
              </w:rPr>
            </w:pPr>
          </w:p>
        </w:tc>
        <w:tc>
          <w:tcPr>
            <w:tcW w:w="5811" w:type="dxa"/>
          </w:tcPr>
          <w:p w14:paraId="0C432D3D" w14:textId="524F2731" w:rsidR="00FF43B9" w:rsidRPr="00F82A20" w:rsidRDefault="00FF43B9" w:rsidP="00FF43B9">
            <w:pPr>
              <w:tabs>
                <w:tab w:val="left" w:pos="173"/>
              </w:tabs>
              <w:spacing w:after="120" w:line="240" w:lineRule="auto"/>
              <w:rPr>
                <w:sz w:val="20"/>
                <w:szCs w:val="20"/>
              </w:rPr>
            </w:pPr>
            <w:r>
              <w:rPr>
                <w:sz w:val="20"/>
                <w:szCs w:val="20"/>
              </w:rPr>
              <w:t>Three recommendations were made:</w:t>
            </w:r>
          </w:p>
          <w:p w14:paraId="1E924AAA" w14:textId="3B782C2A" w:rsidR="00FF43B9" w:rsidRDefault="00FF43B9" w:rsidP="00FF43B9">
            <w:pPr>
              <w:pStyle w:val="ListParagraph"/>
              <w:numPr>
                <w:ilvl w:val="3"/>
                <w:numId w:val="23"/>
              </w:numPr>
              <w:tabs>
                <w:tab w:val="left" w:pos="173"/>
              </w:tabs>
              <w:spacing w:after="120" w:line="240" w:lineRule="auto"/>
              <w:ind w:left="300" w:hanging="272"/>
              <w:contextualSpacing w:val="0"/>
              <w:rPr>
                <w:sz w:val="20"/>
                <w:szCs w:val="20"/>
              </w:rPr>
            </w:pPr>
            <w:r w:rsidRPr="0077298D">
              <w:rPr>
                <w:sz w:val="20"/>
                <w:szCs w:val="20"/>
              </w:rPr>
              <w:t>The Department appoint an Information Champion. The Information Champion may be supported by an information governance board to provide leadership, oversight and accountability necessary to promote and operationalise the Department’s compliance with the FOI Act</w:t>
            </w:r>
            <w:r>
              <w:rPr>
                <w:sz w:val="20"/>
                <w:szCs w:val="20"/>
              </w:rPr>
              <w:t>.</w:t>
            </w:r>
          </w:p>
          <w:p w14:paraId="6D472BA1" w14:textId="77777777" w:rsidR="00FF43B9" w:rsidRPr="00AE351A" w:rsidRDefault="00FF43B9" w:rsidP="00FF43B9">
            <w:pPr>
              <w:pStyle w:val="ListParagraph"/>
              <w:numPr>
                <w:ilvl w:val="3"/>
                <w:numId w:val="23"/>
              </w:numPr>
              <w:tabs>
                <w:tab w:val="left" w:pos="173"/>
              </w:tabs>
              <w:spacing w:after="0" w:line="240" w:lineRule="auto"/>
              <w:ind w:left="315" w:hanging="284"/>
              <w:rPr>
                <w:sz w:val="20"/>
                <w:szCs w:val="20"/>
              </w:rPr>
            </w:pPr>
            <w:r w:rsidRPr="0077298D">
              <w:rPr>
                <w:sz w:val="20"/>
                <w:szCs w:val="20"/>
              </w:rPr>
              <w:t>The Department should develop and implement a compliance action plan</w:t>
            </w:r>
            <w:r>
              <w:rPr>
                <w:sz w:val="20"/>
                <w:szCs w:val="20"/>
              </w:rPr>
              <w:t xml:space="preserve"> </w:t>
            </w:r>
            <w:r w:rsidRPr="00AE351A">
              <w:rPr>
                <w:sz w:val="20"/>
                <w:szCs w:val="20"/>
              </w:rPr>
              <w:t>include an explanation and assessment of the reasons for non-compliance with the statutory processing period for the 2019-20 and 2020-21 financial years and proposals to improve compliance, including in relation to:</w:t>
            </w:r>
          </w:p>
          <w:p w14:paraId="5E61B174" w14:textId="77777777" w:rsidR="00FF43B9" w:rsidRPr="00AE351A" w:rsidRDefault="00FF43B9" w:rsidP="00FF43B9">
            <w:pPr>
              <w:pStyle w:val="ListParagraph"/>
              <w:numPr>
                <w:ilvl w:val="0"/>
                <w:numId w:val="29"/>
              </w:numPr>
              <w:tabs>
                <w:tab w:val="left" w:pos="882"/>
              </w:tabs>
              <w:spacing w:after="0" w:line="240" w:lineRule="auto"/>
              <w:ind w:left="737" w:hanging="142"/>
              <w:rPr>
                <w:sz w:val="20"/>
                <w:szCs w:val="20"/>
              </w:rPr>
            </w:pPr>
            <w:r w:rsidRPr="00AE351A">
              <w:rPr>
                <w:sz w:val="20"/>
                <w:szCs w:val="20"/>
              </w:rPr>
              <w:t>adequacy of resources</w:t>
            </w:r>
          </w:p>
          <w:p w14:paraId="64E1939E" w14:textId="77777777" w:rsidR="00FF43B9" w:rsidRPr="00AE351A" w:rsidRDefault="00FF43B9" w:rsidP="00FF43B9">
            <w:pPr>
              <w:pStyle w:val="ListParagraph"/>
              <w:numPr>
                <w:ilvl w:val="0"/>
                <w:numId w:val="29"/>
              </w:numPr>
              <w:tabs>
                <w:tab w:val="left" w:pos="882"/>
              </w:tabs>
              <w:spacing w:after="0" w:line="240" w:lineRule="auto"/>
              <w:ind w:left="737" w:hanging="142"/>
              <w:rPr>
                <w:sz w:val="20"/>
                <w:szCs w:val="20"/>
              </w:rPr>
            </w:pPr>
            <w:r w:rsidRPr="00AE351A">
              <w:rPr>
                <w:sz w:val="20"/>
                <w:szCs w:val="20"/>
              </w:rPr>
              <w:t>training</w:t>
            </w:r>
          </w:p>
          <w:p w14:paraId="3CE9047E" w14:textId="77777777" w:rsidR="00FF43B9" w:rsidRPr="00AE351A" w:rsidRDefault="00FF43B9" w:rsidP="00FF43B9">
            <w:pPr>
              <w:pStyle w:val="ListParagraph"/>
              <w:numPr>
                <w:ilvl w:val="0"/>
                <w:numId w:val="29"/>
              </w:numPr>
              <w:tabs>
                <w:tab w:val="left" w:pos="882"/>
              </w:tabs>
              <w:spacing w:after="0" w:line="240" w:lineRule="auto"/>
              <w:ind w:left="882" w:hanging="287"/>
              <w:rPr>
                <w:sz w:val="20"/>
                <w:szCs w:val="20"/>
              </w:rPr>
            </w:pPr>
            <w:r w:rsidRPr="00AE351A">
              <w:rPr>
                <w:sz w:val="20"/>
                <w:szCs w:val="20"/>
              </w:rPr>
              <w:t xml:space="preserve">operational improvements and </w:t>
            </w:r>
          </w:p>
          <w:p w14:paraId="525E256C" w14:textId="77777777" w:rsidR="00FF43B9" w:rsidRDefault="00FF43B9" w:rsidP="00FF43B9">
            <w:pPr>
              <w:pStyle w:val="ListParagraph"/>
              <w:numPr>
                <w:ilvl w:val="0"/>
                <w:numId w:val="29"/>
              </w:numPr>
              <w:tabs>
                <w:tab w:val="left" w:pos="882"/>
              </w:tabs>
              <w:spacing w:after="120" w:line="240" w:lineRule="auto"/>
              <w:ind w:left="884" w:hanging="289"/>
              <w:contextualSpacing w:val="0"/>
              <w:rPr>
                <w:sz w:val="20"/>
                <w:szCs w:val="20"/>
              </w:rPr>
            </w:pPr>
            <w:r w:rsidRPr="00AE351A">
              <w:rPr>
                <w:sz w:val="20"/>
                <w:szCs w:val="20"/>
              </w:rPr>
              <w:lastRenderedPageBreak/>
              <w:t>proposals for how the Department will comply with the statutory processing period in relation to any backlog of outstanding FOI requests as well as new requests.</w:t>
            </w:r>
          </w:p>
          <w:p w14:paraId="436408CF" w14:textId="77777777" w:rsidR="00FF43B9" w:rsidRDefault="00FF43B9" w:rsidP="00FF43B9">
            <w:pPr>
              <w:spacing w:after="0"/>
              <w:rPr>
                <w:sz w:val="20"/>
                <w:szCs w:val="20"/>
              </w:rPr>
            </w:pPr>
            <w:r>
              <w:rPr>
                <w:sz w:val="20"/>
                <w:szCs w:val="20"/>
              </w:rPr>
              <w:t xml:space="preserve">3.   </w:t>
            </w:r>
            <w:r w:rsidRPr="00F500F6">
              <w:rPr>
                <w:sz w:val="20"/>
                <w:szCs w:val="20"/>
              </w:rPr>
              <w:t>The Department should provide an implementation report</w:t>
            </w:r>
            <w:r>
              <w:rPr>
                <w:sz w:val="20"/>
                <w:szCs w:val="20"/>
              </w:rPr>
              <w:t xml:space="preserve">, </w:t>
            </w:r>
          </w:p>
          <w:p w14:paraId="5973CACC" w14:textId="77777777" w:rsidR="00FF43B9" w:rsidRDefault="00FF43B9" w:rsidP="00FF43B9">
            <w:pPr>
              <w:spacing w:after="0"/>
              <w:rPr>
                <w:sz w:val="20"/>
                <w:szCs w:val="20"/>
              </w:rPr>
            </w:pPr>
            <w:r>
              <w:rPr>
                <w:sz w:val="20"/>
                <w:szCs w:val="20"/>
              </w:rPr>
              <w:t xml:space="preserve">       including </w:t>
            </w:r>
            <w:r w:rsidRPr="00F500F6">
              <w:rPr>
                <w:sz w:val="20"/>
                <w:szCs w:val="20"/>
              </w:rPr>
              <w:t xml:space="preserve">statistical evidence and analysis to demonstrate the </w:t>
            </w:r>
          </w:p>
          <w:p w14:paraId="54884128" w14:textId="77777777" w:rsidR="00FF43B9" w:rsidRDefault="00FF43B9" w:rsidP="00FF43B9">
            <w:pPr>
              <w:spacing w:after="0"/>
              <w:rPr>
                <w:sz w:val="20"/>
                <w:szCs w:val="20"/>
              </w:rPr>
            </w:pPr>
            <w:r>
              <w:rPr>
                <w:sz w:val="20"/>
                <w:szCs w:val="20"/>
              </w:rPr>
              <w:t xml:space="preserve">       </w:t>
            </w:r>
            <w:r w:rsidRPr="00F500F6">
              <w:rPr>
                <w:sz w:val="20"/>
                <w:szCs w:val="20"/>
              </w:rPr>
              <w:t xml:space="preserve">effectiveness of the implementation of the compliance action </w:t>
            </w:r>
          </w:p>
          <w:p w14:paraId="666A0504" w14:textId="77777777" w:rsidR="00FF43B9" w:rsidRDefault="00FF43B9" w:rsidP="00FF43B9">
            <w:pPr>
              <w:spacing w:after="0"/>
              <w:rPr>
                <w:sz w:val="20"/>
                <w:szCs w:val="20"/>
              </w:rPr>
            </w:pPr>
            <w:r>
              <w:rPr>
                <w:sz w:val="20"/>
                <w:szCs w:val="20"/>
              </w:rPr>
              <w:t xml:space="preserve">       </w:t>
            </w:r>
            <w:r w:rsidRPr="00F500F6">
              <w:rPr>
                <w:sz w:val="20"/>
                <w:szCs w:val="20"/>
              </w:rPr>
              <w:t>plan in recommendation 2 and whether the reasons for non-</w:t>
            </w:r>
          </w:p>
          <w:p w14:paraId="71A6AF62" w14:textId="77777777" w:rsidR="00FF43B9" w:rsidRDefault="00FF43B9" w:rsidP="00FF43B9">
            <w:pPr>
              <w:spacing w:after="0"/>
              <w:rPr>
                <w:sz w:val="20"/>
                <w:szCs w:val="20"/>
              </w:rPr>
            </w:pPr>
            <w:r>
              <w:rPr>
                <w:sz w:val="20"/>
                <w:szCs w:val="20"/>
              </w:rPr>
              <w:t xml:space="preserve">       </w:t>
            </w:r>
            <w:r w:rsidRPr="00F500F6">
              <w:rPr>
                <w:sz w:val="20"/>
                <w:szCs w:val="20"/>
              </w:rPr>
              <w:t xml:space="preserve">compliance identified in the compliance action plan have been </w:t>
            </w:r>
          </w:p>
          <w:p w14:paraId="0FD5191E" w14:textId="442E75A6" w:rsidR="00FF43B9" w:rsidRPr="00D94668" w:rsidRDefault="00FF43B9" w:rsidP="00FF43B9">
            <w:pPr>
              <w:spacing w:after="0"/>
              <w:rPr>
                <w:sz w:val="20"/>
                <w:szCs w:val="20"/>
              </w:rPr>
            </w:pPr>
            <w:r>
              <w:rPr>
                <w:sz w:val="20"/>
                <w:szCs w:val="20"/>
              </w:rPr>
              <w:t xml:space="preserve">       </w:t>
            </w:r>
            <w:r w:rsidRPr="00F500F6">
              <w:rPr>
                <w:sz w:val="20"/>
                <w:szCs w:val="20"/>
              </w:rPr>
              <w:t>rectified</w:t>
            </w:r>
            <w:r>
              <w:rPr>
                <w:sz w:val="20"/>
                <w:szCs w:val="20"/>
              </w:rPr>
              <w:t>.</w:t>
            </w:r>
          </w:p>
        </w:tc>
        <w:tc>
          <w:tcPr>
            <w:tcW w:w="2127" w:type="dxa"/>
          </w:tcPr>
          <w:p w14:paraId="7D3157B5" w14:textId="01620644" w:rsidR="00FF43B9" w:rsidRDefault="00FF43B9" w:rsidP="00FF43B9">
            <w:pPr>
              <w:rPr>
                <w:sz w:val="20"/>
                <w:szCs w:val="20"/>
              </w:rPr>
            </w:pPr>
            <w:r>
              <w:rPr>
                <w:sz w:val="20"/>
                <w:szCs w:val="20"/>
              </w:rPr>
              <w:lastRenderedPageBreak/>
              <w:t>Accepted and implemented.</w:t>
            </w:r>
          </w:p>
        </w:tc>
        <w:tc>
          <w:tcPr>
            <w:tcW w:w="1984" w:type="dxa"/>
          </w:tcPr>
          <w:p w14:paraId="68FEA35A" w14:textId="7DCBA6BC" w:rsidR="00FF43B9" w:rsidRDefault="00FF43B9" w:rsidP="00FF43B9">
            <w:pPr>
              <w:rPr>
                <w:sz w:val="20"/>
                <w:szCs w:val="20"/>
              </w:rPr>
            </w:pPr>
            <w:r>
              <w:rPr>
                <w:sz w:val="20"/>
                <w:szCs w:val="20"/>
              </w:rPr>
              <w:t>No further action to be taken.</w:t>
            </w:r>
          </w:p>
        </w:tc>
      </w:tr>
      <w:tr w:rsidR="00FF43B9" w:rsidRPr="00D94668" w14:paraId="2AB3E5B3" w14:textId="77777777" w:rsidTr="0086062E">
        <w:trPr>
          <w:trHeight w:val="2418"/>
        </w:trPr>
        <w:tc>
          <w:tcPr>
            <w:tcW w:w="1888" w:type="dxa"/>
          </w:tcPr>
          <w:p w14:paraId="4F6F374D" w14:textId="7A88BCF1" w:rsidR="00FF43B9" w:rsidRPr="00D26517" w:rsidRDefault="00FF43B9" w:rsidP="00FF43B9">
            <w:pPr>
              <w:rPr>
                <w:sz w:val="20"/>
                <w:szCs w:val="20"/>
              </w:rPr>
            </w:pPr>
            <w:r w:rsidRPr="005618A4">
              <w:rPr>
                <w:sz w:val="20"/>
                <w:szCs w:val="20"/>
              </w:rPr>
              <w:t>Australian Federal Police</w:t>
            </w:r>
          </w:p>
        </w:tc>
        <w:tc>
          <w:tcPr>
            <w:tcW w:w="2223" w:type="dxa"/>
          </w:tcPr>
          <w:p w14:paraId="78A95F8F" w14:textId="018D3B1C" w:rsidR="00FF43B9" w:rsidRPr="00D94668" w:rsidRDefault="00FF43B9" w:rsidP="00FF43B9">
            <w:pPr>
              <w:rPr>
                <w:sz w:val="20"/>
                <w:szCs w:val="20"/>
              </w:rPr>
            </w:pPr>
            <w:r w:rsidRPr="005618A4">
              <w:rPr>
                <w:sz w:val="20"/>
                <w:szCs w:val="20"/>
              </w:rPr>
              <w:t>Compliance with statutory timeframes for processing FOI request</w:t>
            </w:r>
          </w:p>
        </w:tc>
        <w:tc>
          <w:tcPr>
            <w:tcW w:w="1352" w:type="dxa"/>
          </w:tcPr>
          <w:p w14:paraId="14C3E1F2" w14:textId="350B436F" w:rsidR="00FF43B9" w:rsidRPr="00D94668" w:rsidRDefault="00FF43B9" w:rsidP="00FF43B9">
            <w:pPr>
              <w:rPr>
                <w:sz w:val="20"/>
                <w:szCs w:val="20"/>
              </w:rPr>
            </w:pPr>
            <w:r w:rsidRPr="005618A4">
              <w:rPr>
                <w:sz w:val="20"/>
                <w:szCs w:val="20"/>
              </w:rPr>
              <w:t>Personal</w:t>
            </w:r>
          </w:p>
        </w:tc>
        <w:tc>
          <w:tcPr>
            <w:tcW w:w="1483" w:type="dxa"/>
          </w:tcPr>
          <w:p w14:paraId="39BFB118" w14:textId="424D9E86" w:rsidR="00FF43B9" w:rsidRPr="00D94668" w:rsidRDefault="00FF43B9" w:rsidP="00FF43B9">
            <w:pPr>
              <w:rPr>
                <w:sz w:val="20"/>
                <w:szCs w:val="20"/>
              </w:rPr>
            </w:pPr>
            <w:r w:rsidRPr="005618A4">
              <w:rPr>
                <w:sz w:val="20"/>
                <w:szCs w:val="20"/>
              </w:rPr>
              <w:t>27 October 2021</w:t>
            </w:r>
          </w:p>
        </w:tc>
        <w:tc>
          <w:tcPr>
            <w:tcW w:w="4395" w:type="dxa"/>
          </w:tcPr>
          <w:p w14:paraId="3225B8B6" w14:textId="77777777" w:rsidR="00FF43B9" w:rsidRPr="005618A4" w:rsidRDefault="00FF43B9" w:rsidP="00FF43B9">
            <w:pPr>
              <w:pStyle w:val="Default"/>
              <w:rPr>
                <w:sz w:val="20"/>
                <w:szCs w:val="20"/>
              </w:rPr>
            </w:pPr>
            <w:r w:rsidRPr="005618A4">
              <w:rPr>
                <w:sz w:val="20"/>
                <w:szCs w:val="20"/>
              </w:rPr>
              <w:t>The AFP did not comply with the statutory processing timeframe which is attributable to:</w:t>
            </w:r>
          </w:p>
          <w:p w14:paraId="6C2BFC73" w14:textId="77777777" w:rsidR="00FF43B9" w:rsidRDefault="00FF43B9" w:rsidP="00FF43B9">
            <w:pPr>
              <w:pStyle w:val="ListBullet"/>
              <w:rPr>
                <w:sz w:val="20"/>
                <w:szCs w:val="20"/>
              </w:rPr>
            </w:pPr>
            <w:r w:rsidRPr="005618A4">
              <w:rPr>
                <w:sz w:val="20"/>
                <w:szCs w:val="20"/>
              </w:rPr>
              <w:t xml:space="preserve"> the failure of business areas to provide documents at issue to the FOI section and/or the time taken in the subsequent processing by the FOI section.</w:t>
            </w:r>
          </w:p>
          <w:p w14:paraId="09F9B7B2" w14:textId="0B9A6F05" w:rsidR="00FF43B9" w:rsidRPr="00D94668" w:rsidRDefault="00FF43B9" w:rsidP="00FF43B9">
            <w:pPr>
              <w:pStyle w:val="ListBullet"/>
              <w:rPr>
                <w:sz w:val="20"/>
                <w:szCs w:val="20"/>
              </w:rPr>
            </w:pPr>
            <w:r>
              <w:rPr>
                <w:sz w:val="20"/>
                <w:szCs w:val="20"/>
              </w:rPr>
              <w:t>the AFP’s</w:t>
            </w:r>
            <w:r w:rsidRPr="005618A4">
              <w:rPr>
                <w:sz w:val="20"/>
                <w:szCs w:val="20"/>
              </w:rPr>
              <w:t xml:space="preserve"> late consideration of whether an extension of time is required in relation to the processing of FOI requests.</w:t>
            </w:r>
          </w:p>
        </w:tc>
        <w:tc>
          <w:tcPr>
            <w:tcW w:w="5811" w:type="dxa"/>
          </w:tcPr>
          <w:p w14:paraId="454D8C7A" w14:textId="1D078AD8" w:rsidR="00FF43B9" w:rsidRPr="0064242F" w:rsidRDefault="00FF43B9" w:rsidP="00FF43B9">
            <w:pPr>
              <w:tabs>
                <w:tab w:val="left" w:pos="315"/>
              </w:tabs>
              <w:spacing w:after="120" w:line="240" w:lineRule="auto"/>
              <w:rPr>
                <w:sz w:val="20"/>
                <w:szCs w:val="20"/>
              </w:rPr>
            </w:pPr>
            <w:r>
              <w:rPr>
                <w:sz w:val="20"/>
                <w:szCs w:val="20"/>
              </w:rPr>
              <w:t>Two recommendations were made:</w:t>
            </w:r>
          </w:p>
          <w:p w14:paraId="7258B660" w14:textId="571B16FB" w:rsidR="00FF43B9" w:rsidRPr="005618A4" w:rsidRDefault="00FF43B9" w:rsidP="00FF43B9">
            <w:pPr>
              <w:pStyle w:val="ListParagraph"/>
              <w:numPr>
                <w:ilvl w:val="0"/>
                <w:numId w:val="30"/>
              </w:numPr>
              <w:tabs>
                <w:tab w:val="left" w:pos="315"/>
              </w:tabs>
              <w:spacing w:after="120" w:line="240" w:lineRule="auto"/>
              <w:ind w:left="315" w:hanging="315"/>
              <w:rPr>
                <w:sz w:val="20"/>
                <w:szCs w:val="20"/>
              </w:rPr>
            </w:pPr>
            <w:r w:rsidRPr="005618A4">
              <w:rPr>
                <w:sz w:val="20"/>
                <w:szCs w:val="20"/>
              </w:rPr>
              <w:t>The AFP should develop and implement a compliance action plan and provide a copy of that plan to the OAIC. The compliance action plan should include an explanation and assessment of the reasons for non-compliance with the statutory processing period for the 2019-20 and 2020-21 financial years and proposals to improve compliance, including in relation to:</w:t>
            </w:r>
          </w:p>
          <w:p w14:paraId="50598845" w14:textId="77777777" w:rsidR="00FF43B9" w:rsidRPr="005618A4" w:rsidRDefault="00FF43B9" w:rsidP="00FF43B9">
            <w:pPr>
              <w:pStyle w:val="ListParagraph"/>
              <w:numPr>
                <w:ilvl w:val="0"/>
                <w:numId w:val="31"/>
              </w:numPr>
              <w:tabs>
                <w:tab w:val="left" w:pos="882"/>
              </w:tabs>
              <w:spacing w:after="120" w:line="240" w:lineRule="auto"/>
              <w:ind w:left="882" w:hanging="284"/>
              <w:rPr>
                <w:sz w:val="20"/>
                <w:szCs w:val="20"/>
              </w:rPr>
            </w:pPr>
            <w:r w:rsidRPr="005618A4">
              <w:rPr>
                <w:sz w:val="20"/>
                <w:szCs w:val="20"/>
              </w:rPr>
              <w:t>adequacy of resources</w:t>
            </w:r>
          </w:p>
          <w:p w14:paraId="15CDA19A" w14:textId="77777777" w:rsidR="00FF43B9" w:rsidRPr="005618A4" w:rsidRDefault="00FF43B9" w:rsidP="00FF43B9">
            <w:pPr>
              <w:pStyle w:val="ListParagraph"/>
              <w:numPr>
                <w:ilvl w:val="0"/>
                <w:numId w:val="31"/>
              </w:numPr>
              <w:tabs>
                <w:tab w:val="left" w:pos="882"/>
              </w:tabs>
              <w:spacing w:after="120" w:line="240" w:lineRule="auto"/>
              <w:ind w:left="882" w:hanging="284"/>
              <w:rPr>
                <w:sz w:val="20"/>
                <w:szCs w:val="20"/>
              </w:rPr>
            </w:pPr>
            <w:r w:rsidRPr="005618A4">
              <w:rPr>
                <w:sz w:val="20"/>
                <w:szCs w:val="20"/>
              </w:rPr>
              <w:t>training</w:t>
            </w:r>
          </w:p>
          <w:p w14:paraId="0CBD3EF4" w14:textId="77777777" w:rsidR="00FF43B9" w:rsidRPr="005618A4" w:rsidRDefault="00FF43B9" w:rsidP="00FF43B9">
            <w:pPr>
              <w:pStyle w:val="ListParagraph"/>
              <w:numPr>
                <w:ilvl w:val="0"/>
                <w:numId w:val="31"/>
              </w:numPr>
              <w:tabs>
                <w:tab w:val="left" w:pos="882"/>
              </w:tabs>
              <w:spacing w:after="120" w:line="240" w:lineRule="auto"/>
              <w:ind w:left="882" w:hanging="284"/>
              <w:rPr>
                <w:sz w:val="20"/>
                <w:szCs w:val="20"/>
              </w:rPr>
            </w:pPr>
            <w:r w:rsidRPr="005618A4">
              <w:rPr>
                <w:sz w:val="20"/>
                <w:szCs w:val="20"/>
              </w:rPr>
              <w:t xml:space="preserve">operational improvements and </w:t>
            </w:r>
          </w:p>
          <w:p w14:paraId="5324DE59" w14:textId="77777777" w:rsidR="00FF43B9" w:rsidRPr="005618A4" w:rsidRDefault="00FF43B9" w:rsidP="00FF43B9">
            <w:pPr>
              <w:pStyle w:val="ListParagraph"/>
              <w:numPr>
                <w:ilvl w:val="0"/>
                <w:numId w:val="31"/>
              </w:numPr>
              <w:tabs>
                <w:tab w:val="left" w:pos="882"/>
              </w:tabs>
              <w:spacing w:after="120" w:line="240" w:lineRule="auto"/>
              <w:ind w:left="882" w:hanging="284"/>
              <w:contextualSpacing w:val="0"/>
              <w:rPr>
                <w:sz w:val="20"/>
                <w:szCs w:val="20"/>
              </w:rPr>
            </w:pPr>
            <w:r w:rsidRPr="005618A4">
              <w:rPr>
                <w:sz w:val="20"/>
                <w:szCs w:val="20"/>
              </w:rPr>
              <w:t>proposals for how the AFP will comply with the statutory processing period in relation to any backlog of outstanding FOI requests as well as new requests.</w:t>
            </w:r>
          </w:p>
          <w:p w14:paraId="77310D62" w14:textId="77777777" w:rsidR="00FF43B9" w:rsidRDefault="00FF43B9" w:rsidP="00FF43B9">
            <w:pPr>
              <w:spacing w:after="0"/>
              <w:ind w:left="177"/>
              <w:rPr>
                <w:sz w:val="20"/>
                <w:szCs w:val="20"/>
              </w:rPr>
            </w:pPr>
            <w:r>
              <w:rPr>
                <w:sz w:val="20"/>
                <w:szCs w:val="20"/>
              </w:rPr>
              <w:t xml:space="preserve">2.  </w:t>
            </w:r>
            <w:r w:rsidRPr="005618A4">
              <w:rPr>
                <w:sz w:val="20"/>
                <w:szCs w:val="20"/>
              </w:rPr>
              <w:t xml:space="preserve">The AFP should provide an implementation report to the </w:t>
            </w:r>
          </w:p>
          <w:p w14:paraId="120B48CD" w14:textId="77777777" w:rsidR="00FF43B9" w:rsidRDefault="00FF43B9" w:rsidP="00FF43B9">
            <w:pPr>
              <w:spacing w:after="0"/>
              <w:ind w:left="177"/>
              <w:rPr>
                <w:sz w:val="20"/>
                <w:szCs w:val="20"/>
              </w:rPr>
            </w:pPr>
            <w:r>
              <w:rPr>
                <w:sz w:val="20"/>
                <w:szCs w:val="20"/>
              </w:rPr>
              <w:t xml:space="preserve">      </w:t>
            </w:r>
            <w:r w:rsidRPr="005618A4">
              <w:rPr>
                <w:sz w:val="20"/>
                <w:szCs w:val="20"/>
              </w:rPr>
              <w:t xml:space="preserve">OAIC, providing statistical evidence and analysis to </w:t>
            </w:r>
            <w:r>
              <w:rPr>
                <w:sz w:val="20"/>
                <w:szCs w:val="20"/>
              </w:rPr>
              <w:t xml:space="preserve"> </w:t>
            </w:r>
          </w:p>
          <w:p w14:paraId="49E4686B" w14:textId="77777777" w:rsidR="00FF43B9" w:rsidRDefault="00FF43B9" w:rsidP="00FF43B9">
            <w:pPr>
              <w:spacing w:after="0"/>
              <w:ind w:left="177"/>
              <w:rPr>
                <w:sz w:val="20"/>
                <w:szCs w:val="20"/>
              </w:rPr>
            </w:pPr>
            <w:r>
              <w:rPr>
                <w:sz w:val="20"/>
                <w:szCs w:val="20"/>
              </w:rPr>
              <w:t xml:space="preserve">      </w:t>
            </w:r>
            <w:r w:rsidRPr="005618A4">
              <w:rPr>
                <w:sz w:val="20"/>
                <w:szCs w:val="20"/>
              </w:rPr>
              <w:t xml:space="preserve">demonstrate the effectiveness of the implementation of the </w:t>
            </w:r>
          </w:p>
          <w:p w14:paraId="6EC300EE" w14:textId="77777777" w:rsidR="00FF43B9" w:rsidRDefault="00FF43B9" w:rsidP="00FF43B9">
            <w:pPr>
              <w:spacing w:after="0"/>
              <w:ind w:left="177"/>
              <w:rPr>
                <w:sz w:val="20"/>
                <w:szCs w:val="20"/>
              </w:rPr>
            </w:pPr>
            <w:r>
              <w:rPr>
                <w:sz w:val="20"/>
                <w:szCs w:val="20"/>
              </w:rPr>
              <w:t xml:space="preserve">      </w:t>
            </w:r>
            <w:r w:rsidRPr="005618A4">
              <w:rPr>
                <w:sz w:val="20"/>
                <w:szCs w:val="20"/>
              </w:rPr>
              <w:t xml:space="preserve">compliance action plan in recommendation 1 and whether </w:t>
            </w:r>
          </w:p>
          <w:p w14:paraId="2B69C244" w14:textId="77777777" w:rsidR="00FF43B9" w:rsidRDefault="00FF43B9" w:rsidP="00FF43B9">
            <w:pPr>
              <w:spacing w:after="0"/>
              <w:ind w:left="177"/>
              <w:rPr>
                <w:sz w:val="20"/>
                <w:szCs w:val="20"/>
              </w:rPr>
            </w:pPr>
            <w:r>
              <w:rPr>
                <w:sz w:val="20"/>
                <w:szCs w:val="20"/>
              </w:rPr>
              <w:t xml:space="preserve">      </w:t>
            </w:r>
            <w:r w:rsidRPr="005618A4">
              <w:rPr>
                <w:sz w:val="20"/>
                <w:szCs w:val="20"/>
              </w:rPr>
              <w:t xml:space="preserve">the reasons for non-compliance identified in the compliance </w:t>
            </w:r>
          </w:p>
          <w:p w14:paraId="4C08D033" w14:textId="1C4F7B04" w:rsidR="00FF43B9" w:rsidRPr="00D94668" w:rsidRDefault="00FF43B9" w:rsidP="00FF43B9">
            <w:pPr>
              <w:spacing w:after="0"/>
              <w:ind w:left="177"/>
              <w:rPr>
                <w:sz w:val="20"/>
                <w:szCs w:val="20"/>
              </w:rPr>
            </w:pPr>
            <w:r>
              <w:rPr>
                <w:sz w:val="20"/>
                <w:szCs w:val="20"/>
              </w:rPr>
              <w:t xml:space="preserve">      </w:t>
            </w:r>
            <w:r w:rsidRPr="005618A4">
              <w:rPr>
                <w:sz w:val="20"/>
                <w:szCs w:val="20"/>
              </w:rPr>
              <w:t>action plan have been rectified.</w:t>
            </w:r>
          </w:p>
        </w:tc>
        <w:tc>
          <w:tcPr>
            <w:tcW w:w="2127" w:type="dxa"/>
          </w:tcPr>
          <w:p w14:paraId="092818A3" w14:textId="689CB09F" w:rsidR="00FF43B9" w:rsidRDefault="00FF43B9" w:rsidP="00FF43B9">
            <w:pPr>
              <w:rPr>
                <w:sz w:val="20"/>
                <w:szCs w:val="20"/>
              </w:rPr>
            </w:pPr>
            <w:r>
              <w:rPr>
                <w:rFonts w:eastAsia="Source Sans Pro"/>
                <w:sz w:val="20"/>
                <w:szCs w:val="20"/>
              </w:rPr>
              <w:t>Accepted and implemented.</w:t>
            </w:r>
          </w:p>
        </w:tc>
        <w:tc>
          <w:tcPr>
            <w:tcW w:w="1984" w:type="dxa"/>
          </w:tcPr>
          <w:p w14:paraId="6245CC1A" w14:textId="5B3FB05D" w:rsidR="00FF43B9" w:rsidRDefault="00FF43B9" w:rsidP="00FF43B9">
            <w:pPr>
              <w:rPr>
                <w:sz w:val="20"/>
                <w:szCs w:val="20"/>
              </w:rPr>
            </w:pPr>
            <w:r>
              <w:rPr>
                <w:sz w:val="20"/>
                <w:szCs w:val="20"/>
              </w:rPr>
              <w:t>No further Action to be taken.</w:t>
            </w:r>
          </w:p>
        </w:tc>
      </w:tr>
      <w:tr w:rsidR="00FF43B9" w:rsidRPr="00D94668" w14:paraId="001EE297" w14:textId="77777777" w:rsidTr="0086062E">
        <w:trPr>
          <w:trHeight w:val="1413"/>
        </w:trPr>
        <w:tc>
          <w:tcPr>
            <w:tcW w:w="1888" w:type="dxa"/>
          </w:tcPr>
          <w:p w14:paraId="5D0CDF5D" w14:textId="2C5ACFC2" w:rsidR="00FF43B9" w:rsidRPr="00D26517" w:rsidRDefault="00FF43B9" w:rsidP="00FF43B9">
            <w:pPr>
              <w:rPr>
                <w:sz w:val="20"/>
                <w:szCs w:val="20"/>
              </w:rPr>
            </w:pPr>
            <w:r>
              <w:rPr>
                <w:sz w:val="20"/>
                <w:szCs w:val="20"/>
              </w:rPr>
              <w:t>Department of Veterans’ Affairs</w:t>
            </w:r>
          </w:p>
        </w:tc>
        <w:tc>
          <w:tcPr>
            <w:tcW w:w="2223" w:type="dxa"/>
          </w:tcPr>
          <w:p w14:paraId="51E1DBE9" w14:textId="3FAF5743" w:rsidR="00FF43B9" w:rsidRPr="00D94668" w:rsidRDefault="00FF43B9" w:rsidP="00FF43B9">
            <w:pPr>
              <w:rPr>
                <w:sz w:val="20"/>
                <w:szCs w:val="20"/>
              </w:rPr>
            </w:pPr>
            <w:r>
              <w:rPr>
                <w:sz w:val="20"/>
                <w:szCs w:val="20"/>
              </w:rPr>
              <w:t>Compliance with statutory timeframes for processing FOI request</w:t>
            </w:r>
          </w:p>
        </w:tc>
        <w:tc>
          <w:tcPr>
            <w:tcW w:w="1352" w:type="dxa"/>
          </w:tcPr>
          <w:p w14:paraId="60BE4D6A" w14:textId="35C844A9" w:rsidR="00FF43B9" w:rsidRPr="00D94668" w:rsidRDefault="00FF43B9" w:rsidP="00FF43B9">
            <w:pPr>
              <w:rPr>
                <w:sz w:val="20"/>
                <w:szCs w:val="20"/>
              </w:rPr>
            </w:pPr>
            <w:r>
              <w:rPr>
                <w:sz w:val="20"/>
                <w:szCs w:val="20"/>
              </w:rPr>
              <w:t>Personal</w:t>
            </w:r>
          </w:p>
        </w:tc>
        <w:tc>
          <w:tcPr>
            <w:tcW w:w="1483" w:type="dxa"/>
          </w:tcPr>
          <w:p w14:paraId="7FACB831" w14:textId="3B0D5955" w:rsidR="00FF43B9" w:rsidRPr="00D94668" w:rsidRDefault="00FF43B9" w:rsidP="00FF43B9">
            <w:pPr>
              <w:rPr>
                <w:sz w:val="20"/>
                <w:szCs w:val="20"/>
              </w:rPr>
            </w:pPr>
            <w:r>
              <w:rPr>
                <w:sz w:val="20"/>
                <w:szCs w:val="20"/>
              </w:rPr>
              <w:t>19 October 2021</w:t>
            </w:r>
          </w:p>
        </w:tc>
        <w:tc>
          <w:tcPr>
            <w:tcW w:w="4395" w:type="dxa"/>
          </w:tcPr>
          <w:p w14:paraId="20232417" w14:textId="3C68A3ED" w:rsidR="00FF43B9" w:rsidRPr="00D94668" w:rsidRDefault="00FF43B9" w:rsidP="00FF43B9">
            <w:pPr>
              <w:rPr>
                <w:sz w:val="20"/>
                <w:szCs w:val="20"/>
              </w:rPr>
            </w:pPr>
            <w:r>
              <w:rPr>
                <w:sz w:val="20"/>
                <w:szCs w:val="20"/>
              </w:rPr>
              <w:t>The Department complied with the statutory processing timeframes.</w:t>
            </w:r>
          </w:p>
        </w:tc>
        <w:tc>
          <w:tcPr>
            <w:tcW w:w="5811" w:type="dxa"/>
          </w:tcPr>
          <w:p w14:paraId="7F2C5C98" w14:textId="1FBA52BB" w:rsidR="00FF43B9" w:rsidRPr="00D94668" w:rsidRDefault="00FF43B9" w:rsidP="00FF43B9">
            <w:pPr>
              <w:spacing w:after="0"/>
              <w:rPr>
                <w:sz w:val="20"/>
                <w:szCs w:val="20"/>
              </w:rPr>
            </w:pPr>
            <w:r>
              <w:rPr>
                <w:sz w:val="20"/>
                <w:szCs w:val="20"/>
              </w:rPr>
              <w:t xml:space="preserve">No recommendations were made. </w:t>
            </w:r>
          </w:p>
        </w:tc>
        <w:tc>
          <w:tcPr>
            <w:tcW w:w="2127" w:type="dxa"/>
          </w:tcPr>
          <w:p w14:paraId="63E9360B" w14:textId="7B73A1A1" w:rsidR="00FF43B9" w:rsidRDefault="00FF43B9" w:rsidP="00FF43B9">
            <w:pPr>
              <w:rPr>
                <w:sz w:val="20"/>
                <w:szCs w:val="20"/>
              </w:rPr>
            </w:pPr>
            <w:r>
              <w:rPr>
                <w:sz w:val="20"/>
                <w:szCs w:val="20"/>
              </w:rPr>
              <w:t xml:space="preserve">Not applicable. </w:t>
            </w:r>
          </w:p>
        </w:tc>
        <w:tc>
          <w:tcPr>
            <w:tcW w:w="1984" w:type="dxa"/>
          </w:tcPr>
          <w:p w14:paraId="04CB2389" w14:textId="7113C20C" w:rsidR="00FF43B9" w:rsidRDefault="00FF43B9" w:rsidP="00FF43B9">
            <w:pPr>
              <w:rPr>
                <w:sz w:val="20"/>
                <w:szCs w:val="20"/>
              </w:rPr>
            </w:pPr>
            <w:r>
              <w:rPr>
                <w:sz w:val="20"/>
                <w:szCs w:val="20"/>
              </w:rPr>
              <w:t>Not applicable.</w:t>
            </w:r>
          </w:p>
        </w:tc>
      </w:tr>
      <w:tr w:rsidR="00FF43B9" w:rsidRPr="00D94668" w14:paraId="2904B012" w14:textId="77777777" w:rsidTr="0086062E">
        <w:trPr>
          <w:trHeight w:val="1690"/>
        </w:trPr>
        <w:tc>
          <w:tcPr>
            <w:tcW w:w="1888" w:type="dxa"/>
          </w:tcPr>
          <w:p w14:paraId="5DAF5B5A" w14:textId="33B15CAF" w:rsidR="00FF43B9" w:rsidRPr="00D26517" w:rsidRDefault="00FF43B9" w:rsidP="00FF43B9">
            <w:pPr>
              <w:rPr>
                <w:sz w:val="20"/>
                <w:szCs w:val="20"/>
              </w:rPr>
            </w:pPr>
            <w:r w:rsidRPr="003F6284">
              <w:rPr>
                <w:sz w:val="20"/>
                <w:szCs w:val="20"/>
              </w:rPr>
              <w:t>Department of Veterans' Affairs</w:t>
            </w:r>
          </w:p>
        </w:tc>
        <w:tc>
          <w:tcPr>
            <w:tcW w:w="2223" w:type="dxa"/>
          </w:tcPr>
          <w:p w14:paraId="2B506EE7" w14:textId="3603A5DF" w:rsidR="00FF43B9" w:rsidRPr="00D94668" w:rsidRDefault="00FF43B9" w:rsidP="00FF43B9">
            <w:pPr>
              <w:rPr>
                <w:sz w:val="20"/>
                <w:szCs w:val="20"/>
              </w:rPr>
            </w:pPr>
            <w:r>
              <w:rPr>
                <w:sz w:val="20"/>
                <w:szCs w:val="20"/>
              </w:rPr>
              <w:t>Compliance with statutory timeframes for processing FOI request</w:t>
            </w:r>
          </w:p>
        </w:tc>
        <w:tc>
          <w:tcPr>
            <w:tcW w:w="1352" w:type="dxa"/>
          </w:tcPr>
          <w:p w14:paraId="47BB65BD" w14:textId="0E65FFB3" w:rsidR="00FF43B9" w:rsidRPr="00D94668" w:rsidRDefault="00FF43B9" w:rsidP="00FF43B9">
            <w:pPr>
              <w:rPr>
                <w:sz w:val="20"/>
                <w:szCs w:val="20"/>
              </w:rPr>
            </w:pPr>
            <w:r>
              <w:rPr>
                <w:sz w:val="20"/>
                <w:szCs w:val="20"/>
              </w:rPr>
              <w:t>Personal</w:t>
            </w:r>
          </w:p>
        </w:tc>
        <w:tc>
          <w:tcPr>
            <w:tcW w:w="1483" w:type="dxa"/>
          </w:tcPr>
          <w:p w14:paraId="7B3AEAFC" w14:textId="195C0F1B" w:rsidR="00FF43B9" w:rsidRPr="00D94668" w:rsidRDefault="00FF43B9" w:rsidP="00FF43B9">
            <w:pPr>
              <w:rPr>
                <w:sz w:val="20"/>
                <w:szCs w:val="20"/>
              </w:rPr>
            </w:pPr>
            <w:r>
              <w:rPr>
                <w:sz w:val="20"/>
                <w:szCs w:val="20"/>
              </w:rPr>
              <w:t>12 October 2021</w:t>
            </w:r>
          </w:p>
        </w:tc>
        <w:tc>
          <w:tcPr>
            <w:tcW w:w="4395" w:type="dxa"/>
          </w:tcPr>
          <w:p w14:paraId="1E55B1E5" w14:textId="6AF09B73" w:rsidR="00FF43B9" w:rsidRPr="00D94668" w:rsidRDefault="00FF43B9" w:rsidP="00FF43B9">
            <w:pPr>
              <w:rPr>
                <w:sz w:val="20"/>
                <w:szCs w:val="20"/>
              </w:rPr>
            </w:pPr>
            <w:r>
              <w:rPr>
                <w:sz w:val="20"/>
                <w:szCs w:val="20"/>
              </w:rPr>
              <w:t>The Department did not comply with the statutory processing period due to an internal administrative error identifying the FOI request where the FOI request had delay in providing it to the FOI team.</w:t>
            </w:r>
          </w:p>
        </w:tc>
        <w:tc>
          <w:tcPr>
            <w:tcW w:w="5811" w:type="dxa"/>
          </w:tcPr>
          <w:p w14:paraId="7D5F3705" w14:textId="4D911D8C" w:rsidR="00FF43B9" w:rsidRDefault="00FF43B9" w:rsidP="00FF43B9">
            <w:pPr>
              <w:spacing w:after="0"/>
              <w:rPr>
                <w:sz w:val="20"/>
                <w:szCs w:val="20"/>
              </w:rPr>
            </w:pPr>
            <w:r>
              <w:rPr>
                <w:sz w:val="20"/>
                <w:szCs w:val="20"/>
              </w:rPr>
              <w:t xml:space="preserve">No recommendations were made. </w:t>
            </w:r>
          </w:p>
          <w:p w14:paraId="58966AD8" w14:textId="4566372B" w:rsidR="00FF43B9" w:rsidRPr="00D94668" w:rsidRDefault="00FF43B9" w:rsidP="00FF43B9">
            <w:pPr>
              <w:spacing w:after="0"/>
              <w:rPr>
                <w:sz w:val="20"/>
                <w:szCs w:val="20"/>
              </w:rPr>
            </w:pPr>
            <w:r>
              <w:rPr>
                <w:sz w:val="20"/>
                <w:szCs w:val="20"/>
              </w:rPr>
              <w:t>Given</w:t>
            </w:r>
            <w:r w:rsidRPr="003F6284">
              <w:rPr>
                <w:sz w:val="20"/>
                <w:szCs w:val="20"/>
              </w:rPr>
              <w:t xml:space="preserve"> the steps that the Department took upon becoming aware </w:t>
            </w:r>
            <w:r>
              <w:rPr>
                <w:sz w:val="20"/>
                <w:szCs w:val="20"/>
              </w:rPr>
              <w:t>of</w:t>
            </w:r>
            <w:r w:rsidRPr="003F6284">
              <w:rPr>
                <w:sz w:val="20"/>
                <w:szCs w:val="20"/>
              </w:rPr>
              <w:t xml:space="preserve"> the FOI request, including engaging with and providing an explanation to the complainant, processing the request and apologising to the complainant</w:t>
            </w:r>
            <w:r>
              <w:rPr>
                <w:sz w:val="20"/>
                <w:szCs w:val="20"/>
              </w:rPr>
              <w:t>, no recommendations were made.</w:t>
            </w:r>
          </w:p>
        </w:tc>
        <w:tc>
          <w:tcPr>
            <w:tcW w:w="2127" w:type="dxa"/>
          </w:tcPr>
          <w:p w14:paraId="1D8DB358" w14:textId="29EC728C" w:rsidR="00FF43B9" w:rsidRDefault="00FF43B9" w:rsidP="00FF43B9">
            <w:pPr>
              <w:rPr>
                <w:sz w:val="20"/>
                <w:szCs w:val="20"/>
              </w:rPr>
            </w:pPr>
            <w:r>
              <w:rPr>
                <w:sz w:val="20"/>
                <w:szCs w:val="20"/>
              </w:rPr>
              <w:t>Accepted.</w:t>
            </w:r>
          </w:p>
        </w:tc>
        <w:tc>
          <w:tcPr>
            <w:tcW w:w="1984" w:type="dxa"/>
          </w:tcPr>
          <w:p w14:paraId="6025E666" w14:textId="3FEDF98C" w:rsidR="00FF43B9" w:rsidRDefault="00FF43B9" w:rsidP="00FF43B9">
            <w:pPr>
              <w:rPr>
                <w:sz w:val="20"/>
                <w:szCs w:val="20"/>
              </w:rPr>
            </w:pPr>
            <w:r>
              <w:rPr>
                <w:sz w:val="20"/>
                <w:szCs w:val="20"/>
              </w:rPr>
              <w:t>No further Action to be taken.</w:t>
            </w:r>
          </w:p>
        </w:tc>
      </w:tr>
      <w:tr w:rsidR="00FF43B9" w:rsidRPr="00D94668" w14:paraId="44885B12" w14:textId="77777777" w:rsidTr="0086062E">
        <w:trPr>
          <w:trHeight w:val="1059"/>
        </w:trPr>
        <w:tc>
          <w:tcPr>
            <w:tcW w:w="1888" w:type="dxa"/>
          </w:tcPr>
          <w:p w14:paraId="28456F4F" w14:textId="77777777" w:rsidR="00FF43B9" w:rsidRPr="00AC34C6" w:rsidRDefault="00FF43B9" w:rsidP="00FF43B9">
            <w:pPr>
              <w:rPr>
                <w:rFonts w:eastAsia="Source Sans Pro"/>
                <w:sz w:val="20"/>
                <w:szCs w:val="20"/>
              </w:rPr>
            </w:pPr>
            <w:r w:rsidRPr="00AC34C6">
              <w:rPr>
                <w:rFonts w:eastAsia="Source Sans Pro"/>
                <w:sz w:val="20"/>
                <w:szCs w:val="20"/>
              </w:rPr>
              <w:t>Services Australia</w:t>
            </w:r>
          </w:p>
          <w:p w14:paraId="30F02371" w14:textId="77777777" w:rsidR="00FF43B9" w:rsidRPr="00D26517" w:rsidRDefault="00FF43B9" w:rsidP="00FF43B9">
            <w:pPr>
              <w:rPr>
                <w:sz w:val="20"/>
                <w:szCs w:val="20"/>
              </w:rPr>
            </w:pPr>
          </w:p>
        </w:tc>
        <w:tc>
          <w:tcPr>
            <w:tcW w:w="2223" w:type="dxa"/>
          </w:tcPr>
          <w:p w14:paraId="665F0EA6" w14:textId="08D9EA34" w:rsidR="00FF43B9" w:rsidRPr="00AC34C6" w:rsidRDefault="00FF43B9" w:rsidP="00FF43B9">
            <w:pPr>
              <w:rPr>
                <w:rFonts w:eastAsia="Source Sans Pro"/>
                <w:sz w:val="20"/>
                <w:szCs w:val="20"/>
              </w:rPr>
            </w:pPr>
            <w:r w:rsidRPr="00AC34C6">
              <w:rPr>
                <w:rFonts w:eastAsia="Source Sans Pro"/>
                <w:sz w:val="20"/>
                <w:szCs w:val="20"/>
              </w:rPr>
              <w:t>Compliance with Information Publication Scheme (IPS)</w:t>
            </w:r>
          </w:p>
          <w:p w14:paraId="078C6EF6" w14:textId="74374EE0" w:rsidR="00FF43B9" w:rsidRPr="00D94668" w:rsidRDefault="00FF43B9" w:rsidP="00FF43B9">
            <w:pPr>
              <w:rPr>
                <w:sz w:val="20"/>
                <w:szCs w:val="20"/>
              </w:rPr>
            </w:pPr>
            <w:r w:rsidRPr="00AC34C6">
              <w:rPr>
                <w:rFonts w:eastAsia="Source Sans Pro"/>
                <w:sz w:val="20"/>
                <w:szCs w:val="20"/>
              </w:rPr>
              <w:t xml:space="preserve">Imposition of charges for documents held on </w:t>
            </w:r>
            <w:r w:rsidRPr="00AC34C6">
              <w:rPr>
                <w:rFonts w:eastAsia="Source Sans Pro"/>
                <w:sz w:val="20"/>
                <w:szCs w:val="20"/>
              </w:rPr>
              <w:lastRenderedPageBreak/>
              <w:t>the IPS requested under the FOI Act</w:t>
            </w:r>
          </w:p>
        </w:tc>
        <w:tc>
          <w:tcPr>
            <w:tcW w:w="1352" w:type="dxa"/>
          </w:tcPr>
          <w:p w14:paraId="31897CBB" w14:textId="764240CD" w:rsidR="00FF43B9" w:rsidRPr="00D94668" w:rsidRDefault="00FF43B9" w:rsidP="00FF43B9">
            <w:pPr>
              <w:rPr>
                <w:sz w:val="20"/>
                <w:szCs w:val="20"/>
              </w:rPr>
            </w:pPr>
            <w:r w:rsidRPr="00AC34C6">
              <w:rPr>
                <w:rFonts w:eastAsia="Source Sans Pro"/>
                <w:sz w:val="20"/>
                <w:szCs w:val="20"/>
              </w:rPr>
              <w:lastRenderedPageBreak/>
              <w:t>Non-personal</w:t>
            </w:r>
          </w:p>
        </w:tc>
        <w:tc>
          <w:tcPr>
            <w:tcW w:w="1483" w:type="dxa"/>
          </w:tcPr>
          <w:p w14:paraId="0282CF9B" w14:textId="6F417B68" w:rsidR="00FF43B9" w:rsidRPr="00D94668" w:rsidRDefault="00FF43B9" w:rsidP="00FF43B9">
            <w:pPr>
              <w:rPr>
                <w:sz w:val="20"/>
                <w:szCs w:val="20"/>
              </w:rPr>
            </w:pPr>
            <w:r w:rsidRPr="00AC34C6">
              <w:rPr>
                <w:rFonts w:eastAsia="Source Sans Pro"/>
                <w:sz w:val="20"/>
                <w:szCs w:val="20"/>
              </w:rPr>
              <w:t>7 October 2021</w:t>
            </w:r>
          </w:p>
        </w:tc>
        <w:tc>
          <w:tcPr>
            <w:tcW w:w="4395" w:type="dxa"/>
          </w:tcPr>
          <w:p w14:paraId="6F630D3A" w14:textId="3F67E195" w:rsidR="00FF43B9" w:rsidRPr="00D94668" w:rsidRDefault="00FF43B9" w:rsidP="00FF43B9">
            <w:pPr>
              <w:rPr>
                <w:sz w:val="20"/>
                <w:szCs w:val="20"/>
              </w:rPr>
            </w:pPr>
            <w:r w:rsidRPr="00AC34C6">
              <w:rPr>
                <w:rFonts w:eastAsia="Source Sans Pro"/>
                <w:sz w:val="20"/>
                <w:szCs w:val="20"/>
              </w:rPr>
              <w:t xml:space="preserve">Services Australia complied with the Act when it listed titles of operational documents on its IPS. However, Services Australia’s process of requiring individuals to lodge an FOI request for access to documents is only appropriate where the agency has a robust and reliable process to routinely </w:t>
            </w:r>
            <w:r w:rsidRPr="00AC34C6">
              <w:rPr>
                <w:rFonts w:eastAsia="Source Sans Pro"/>
                <w:sz w:val="20"/>
                <w:szCs w:val="20"/>
              </w:rPr>
              <w:lastRenderedPageBreak/>
              <w:t>consider whether the reasons for not publishing the documents continue to apply.</w:t>
            </w:r>
          </w:p>
        </w:tc>
        <w:tc>
          <w:tcPr>
            <w:tcW w:w="5811" w:type="dxa"/>
          </w:tcPr>
          <w:p w14:paraId="6195338F" w14:textId="5B65E096" w:rsidR="00FF43B9" w:rsidRDefault="00FF43B9" w:rsidP="00FF43B9">
            <w:pPr>
              <w:spacing w:after="0" w:line="240" w:lineRule="auto"/>
              <w:ind w:left="182" w:hanging="182"/>
              <w:contextualSpacing/>
              <w:rPr>
                <w:rFonts w:eastAsia="Source Sans Pro"/>
                <w:sz w:val="20"/>
                <w:szCs w:val="20"/>
              </w:rPr>
            </w:pPr>
            <w:r>
              <w:rPr>
                <w:rFonts w:eastAsia="Source Sans Pro"/>
                <w:sz w:val="20"/>
                <w:szCs w:val="20"/>
              </w:rPr>
              <w:lastRenderedPageBreak/>
              <w:t xml:space="preserve">Two recommendations were made:  </w:t>
            </w:r>
          </w:p>
          <w:p w14:paraId="6469FA3C" w14:textId="4B73A188" w:rsidR="00FF43B9" w:rsidRPr="00AC34C6" w:rsidRDefault="00FF43B9" w:rsidP="00FF43B9">
            <w:pPr>
              <w:spacing w:after="0" w:line="240" w:lineRule="auto"/>
              <w:ind w:left="182" w:hanging="182"/>
              <w:contextualSpacing/>
              <w:rPr>
                <w:rFonts w:eastAsia="Source Sans Pro"/>
                <w:sz w:val="20"/>
                <w:szCs w:val="20"/>
              </w:rPr>
            </w:pPr>
            <w:r>
              <w:rPr>
                <w:rFonts w:eastAsia="Source Sans Pro"/>
                <w:sz w:val="20"/>
                <w:szCs w:val="20"/>
              </w:rPr>
              <w:t xml:space="preserve">1. </w:t>
            </w:r>
            <w:r w:rsidRPr="00AC34C6">
              <w:rPr>
                <w:rFonts w:eastAsia="Source Sans Pro"/>
                <w:sz w:val="20"/>
                <w:szCs w:val="20"/>
              </w:rPr>
              <w:t>Develop and implement a system to ensure that:</w:t>
            </w:r>
          </w:p>
          <w:p w14:paraId="50B1B3FA" w14:textId="3A3C61E3" w:rsidR="00FF43B9" w:rsidRPr="0022181F" w:rsidRDefault="00FF43B9" w:rsidP="00FF43B9">
            <w:pPr>
              <w:pStyle w:val="ListParagraph"/>
              <w:numPr>
                <w:ilvl w:val="0"/>
                <w:numId w:val="81"/>
              </w:numPr>
              <w:spacing w:after="120" w:line="240" w:lineRule="auto"/>
              <w:rPr>
                <w:rFonts w:eastAsia="Source Sans Pro"/>
                <w:sz w:val="20"/>
                <w:szCs w:val="20"/>
              </w:rPr>
            </w:pPr>
            <w:r w:rsidRPr="0022181F">
              <w:rPr>
                <w:rFonts w:eastAsia="Source Sans Pro"/>
                <w:sz w:val="20"/>
                <w:szCs w:val="20"/>
              </w:rPr>
              <w:t>decisions taken by business areas in relation to the publication of operational information are consistent with Part II of the FOI Act, and</w:t>
            </w:r>
          </w:p>
          <w:p w14:paraId="4C52520A" w14:textId="70AA0175" w:rsidR="00FF43B9" w:rsidRPr="0022181F" w:rsidRDefault="00FF43B9" w:rsidP="00FF43B9">
            <w:pPr>
              <w:pStyle w:val="ListParagraph"/>
              <w:numPr>
                <w:ilvl w:val="0"/>
                <w:numId w:val="81"/>
              </w:numPr>
              <w:spacing w:after="120" w:line="240" w:lineRule="auto"/>
              <w:rPr>
                <w:rFonts w:eastAsia="Source Sans Pro"/>
                <w:sz w:val="20"/>
                <w:szCs w:val="20"/>
              </w:rPr>
            </w:pPr>
            <w:r w:rsidRPr="0022181F">
              <w:rPr>
                <w:rFonts w:eastAsia="Source Sans Pro"/>
                <w:sz w:val="20"/>
                <w:szCs w:val="20"/>
              </w:rPr>
              <w:lastRenderedPageBreak/>
              <w:t>decisions taken by business areas not to publish particular OBPs are periodically reviewed to determine whether the reasons for non-publication continue to apply to the OBP.</w:t>
            </w:r>
          </w:p>
          <w:p w14:paraId="4053437E" w14:textId="77777777" w:rsidR="00FF43B9" w:rsidRDefault="00FF43B9" w:rsidP="00FF43B9">
            <w:pPr>
              <w:spacing w:after="0"/>
              <w:rPr>
                <w:rFonts w:eastAsia="Source Sans Pro"/>
                <w:sz w:val="20"/>
                <w:szCs w:val="20"/>
              </w:rPr>
            </w:pPr>
            <w:r>
              <w:rPr>
                <w:rFonts w:eastAsia="Source Sans Pro"/>
                <w:sz w:val="20"/>
                <w:szCs w:val="20"/>
              </w:rPr>
              <w:t xml:space="preserve">2. </w:t>
            </w:r>
            <w:r w:rsidRPr="00AC34C6">
              <w:rPr>
                <w:rFonts w:eastAsia="Source Sans Pro"/>
                <w:sz w:val="20"/>
                <w:szCs w:val="20"/>
              </w:rPr>
              <w:t xml:space="preserve">Develop and implement systems and processes to ensure that, </w:t>
            </w:r>
          </w:p>
          <w:p w14:paraId="6957DFFD" w14:textId="77777777" w:rsidR="00FF43B9" w:rsidRDefault="00FF43B9" w:rsidP="00FF43B9">
            <w:pPr>
              <w:spacing w:after="0"/>
              <w:rPr>
                <w:rFonts w:eastAsia="Source Sans Pro"/>
                <w:sz w:val="20"/>
                <w:szCs w:val="20"/>
              </w:rPr>
            </w:pPr>
            <w:r>
              <w:rPr>
                <w:rFonts w:eastAsia="Source Sans Pro"/>
                <w:sz w:val="20"/>
                <w:szCs w:val="20"/>
              </w:rPr>
              <w:t xml:space="preserve">    </w:t>
            </w:r>
            <w:r w:rsidRPr="00AC34C6">
              <w:rPr>
                <w:rFonts w:eastAsia="Source Sans Pro"/>
                <w:sz w:val="20"/>
                <w:szCs w:val="20"/>
              </w:rPr>
              <w:t xml:space="preserve">where Services Australia exercises its discretion to impose a </w:t>
            </w:r>
          </w:p>
          <w:p w14:paraId="03FD4098" w14:textId="77777777" w:rsidR="00FF43B9" w:rsidRDefault="00FF43B9" w:rsidP="00FF43B9">
            <w:pPr>
              <w:spacing w:after="0"/>
              <w:rPr>
                <w:rFonts w:eastAsia="Source Sans Pro"/>
                <w:sz w:val="20"/>
                <w:szCs w:val="20"/>
              </w:rPr>
            </w:pPr>
            <w:r>
              <w:rPr>
                <w:rFonts w:eastAsia="Source Sans Pro"/>
                <w:sz w:val="20"/>
                <w:szCs w:val="20"/>
              </w:rPr>
              <w:t xml:space="preserve">   </w:t>
            </w:r>
            <w:r w:rsidRPr="00AC34C6">
              <w:rPr>
                <w:rFonts w:eastAsia="Source Sans Pro"/>
                <w:sz w:val="20"/>
                <w:szCs w:val="20"/>
              </w:rPr>
              <w:t xml:space="preserve">charge under s 29, that decision is consistent with both the </w:t>
            </w:r>
          </w:p>
          <w:p w14:paraId="2DE5000D" w14:textId="77777777" w:rsidR="00FF43B9" w:rsidRDefault="00FF43B9" w:rsidP="00FF43B9">
            <w:pPr>
              <w:spacing w:after="0"/>
              <w:rPr>
                <w:rFonts w:eastAsia="Source Sans Pro"/>
                <w:sz w:val="20"/>
                <w:szCs w:val="20"/>
              </w:rPr>
            </w:pPr>
            <w:r>
              <w:rPr>
                <w:rFonts w:eastAsia="Source Sans Pro"/>
                <w:sz w:val="20"/>
                <w:szCs w:val="20"/>
              </w:rPr>
              <w:t xml:space="preserve">   </w:t>
            </w:r>
            <w:r w:rsidRPr="00AC34C6">
              <w:rPr>
                <w:rFonts w:eastAsia="Source Sans Pro"/>
                <w:sz w:val="20"/>
                <w:szCs w:val="20"/>
              </w:rPr>
              <w:t xml:space="preserve">relevant statutory provisions, the FOI Guidelines and its </w:t>
            </w:r>
          </w:p>
          <w:p w14:paraId="45FF5273" w14:textId="56595774" w:rsidR="00FF43B9" w:rsidRPr="00D94668" w:rsidRDefault="00FF43B9" w:rsidP="00FF43B9">
            <w:pPr>
              <w:spacing w:after="0"/>
              <w:rPr>
                <w:sz w:val="20"/>
                <w:szCs w:val="20"/>
              </w:rPr>
            </w:pPr>
            <w:r>
              <w:rPr>
                <w:rFonts w:eastAsia="Source Sans Pro"/>
                <w:sz w:val="20"/>
                <w:szCs w:val="20"/>
              </w:rPr>
              <w:t xml:space="preserve">   </w:t>
            </w:r>
            <w:r w:rsidRPr="00AC34C6">
              <w:rPr>
                <w:rFonts w:eastAsia="Source Sans Pro"/>
                <w:sz w:val="20"/>
                <w:szCs w:val="20"/>
              </w:rPr>
              <w:t>obligations under Part II of the FOI Act.</w:t>
            </w:r>
          </w:p>
        </w:tc>
        <w:tc>
          <w:tcPr>
            <w:tcW w:w="2127" w:type="dxa"/>
          </w:tcPr>
          <w:p w14:paraId="78DC063F" w14:textId="77777777" w:rsidR="00FF43B9" w:rsidRPr="005618A4" w:rsidRDefault="00FF43B9" w:rsidP="00FF43B9">
            <w:pPr>
              <w:rPr>
                <w:rFonts w:eastAsia="Source Sans Pro"/>
                <w:sz w:val="20"/>
                <w:szCs w:val="20"/>
              </w:rPr>
            </w:pPr>
            <w:r w:rsidRPr="005618A4">
              <w:rPr>
                <w:rFonts w:eastAsia="Source Sans Pro"/>
                <w:sz w:val="20"/>
                <w:szCs w:val="20"/>
              </w:rPr>
              <w:lastRenderedPageBreak/>
              <w:t>Accepted</w:t>
            </w:r>
            <w:r>
              <w:rPr>
                <w:rFonts w:eastAsia="Source Sans Pro"/>
                <w:sz w:val="20"/>
                <w:szCs w:val="20"/>
              </w:rPr>
              <w:t xml:space="preserve"> and implemented</w:t>
            </w:r>
            <w:r w:rsidRPr="005618A4">
              <w:rPr>
                <w:rFonts w:eastAsia="Source Sans Pro"/>
                <w:sz w:val="20"/>
                <w:szCs w:val="20"/>
              </w:rPr>
              <w:t>.</w:t>
            </w:r>
          </w:p>
          <w:p w14:paraId="6F0AD13A" w14:textId="77777777" w:rsidR="00FF43B9" w:rsidRDefault="00FF43B9" w:rsidP="00FF43B9">
            <w:pPr>
              <w:rPr>
                <w:sz w:val="20"/>
                <w:szCs w:val="20"/>
              </w:rPr>
            </w:pPr>
          </w:p>
        </w:tc>
        <w:tc>
          <w:tcPr>
            <w:tcW w:w="1984" w:type="dxa"/>
          </w:tcPr>
          <w:p w14:paraId="0D099AE7" w14:textId="6D3C5AB1" w:rsidR="00FF43B9" w:rsidRDefault="00FF43B9" w:rsidP="00FF43B9">
            <w:pPr>
              <w:rPr>
                <w:sz w:val="20"/>
                <w:szCs w:val="20"/>
              </w:rPr>
            </w:pPr>
            <w:r>
              <w:rPr>
                <w:sz w:val="20"/>
                <w:szCs w:val="20"/>
              </w:rPr>
              <w:t>No further action to be taken.</w:t>
            </w:r>
          </w:p>
        </w:tc>
      </w:tr>
      <w:tr w:rsidR="00FF43B9" w:rsidRPr="00D94668" w14:paraId="02F91AA1" w14:textId="77777777" w:rsidTr="0086062E">
        <w:trPr>
          <w:trHeight w:val="2418"/>
        </w:trPr>
        <w:tc>
          <w:tcPr>
            <w:tcW w:w="1888" w:type="dxa"/>
          </w:tcPr>
          <w:p w14:paraId="4404495E" w14:textId="7B90856C" w:rsidR="00FF43B9" w:rsidRPr="00D26517" w:rsidRDefault="00FF43B9" w:rsidP="00FF43B9">
            <w:pPr>
              <w:rPr>
                <w:sz w:val="20"/>
                <w:szCs w:val="20"/>
              </w:rPr>
            </w:pPr>
            <w:r>
              <w:rPr>
                <w:sz w:val="20"/>
                <w:szCs w:val="20"/>
              </w:rPr>
              <w:t>Department of the Prime Minister and Cabinet</w:t>
            </w:r>
          </w:p>
        </w:tc>
        <w:tc>
          <w:tcPr>
            <w:tcW w:w="2223" w:type="dxa"/>
          </w:tcPr>
          <w:p w14:paraId="764474B2" w14:textId="600D2AFE" w:rsidR="00FF43B9" w:rsidRDefault="00FF43B9" w:rsidP="00FF43B9">
            <w:pPr>
              <w:rPr>
                <w:rFonts w:eastAsia="Source Sans Pro"/>
                <w:sz w:val="20"/>
                <w:szCs w:val="20"/>
              </w:rPr>
            </w:pPr>
            <w:r w:rsidRPr="0043119D">
              <w:rPr>
                <w:rFonts w:eastAsia="Source Sans Pro"/>
                <w:sz w:val="20"/>
                <w:szCs w:val="20"/>
              </w:rPr>
              <w:t xml:space="preserve">Compliance with statutory timeframes for processing </w:t>
            </w:r>
            <w:r>
              <w:rPr>
                <w:rFonts w:eastAsia="Source Sans Pro"/>
                <w:sz w:val="20"/>
                <w:szCs w:val="20"/>
              </w:rPr>
              <w:t xml:space="preserve">an </w:t>
            </w:r>
            <w:r w:rsidRPr="0043119D">
              <w:rPr>
                <w:rFonts w:eastAsia="Source Sans Pro"/>
                <w:sz w:val="20"/>
                <w:szCs w:val="20"/>
              </w:rPr>
              <w:t>FOI request</w:t>
            </w:r>
          </w:p>
          <w:p w14:paraId="737F7AD4" w14:textId="77777777" w:rsidR="00FF43B9" w:rsidRPr="00D94668" w:rsidRDefault="00FF43B9" w:rsidP="00FF43B9">
            <w:pPr>
              <w:rPr>
                <w:sz w:val="20"/>
                <w:szCs w:val="20"/>
              </w:rPr>
            </w:pPr>
          </w:p>
        </w:tc>
        <w:tc>
          <w:tcPr>
            <w:tcW w:w="1352" w:type="dxa"/>
          </w:tcPr>
          <w:p w14:paraId="7C98157E" w14:textId="3172A609" w:rsidR="00FF43B9" w:rsidRPr="00D94668" w:rsidRDefault="00FF43B9" w:rsidP="00FF43B9">
            <w:pPr>
              <w:rPr>
                <w:sz w:val="20"/>
                <w:szCs w:val="20"/>
              </w:rPr>
            </w:pPr>
            <w:r>
              <w:rPr>
                <w:sz w:val="20"/>
                <w:szCs w:val="20"/>
              </w:rPr>
              <w:t>Non-personal</w:t>
            </w:r>
          </w:p>
        </w:tc>
        <w:tc>
          <w:tcPr>
            <w:tcW w:w="1483" w:type="dxa"/>
          </w:tcPr>
          <w:p w14:paraId="717D73FD" w14:textId="7959569A" w:rsidR="00FF43B9" w:rsidRPr="00D94668" w:rsidRDefault="00FF43B9" w:rsidP="00FF43B9">
            <w:pPr>
              <w:rPr>
                <w:sz w:val="20"/>
                <w:szCs w:val="20"/>
              </w:rPr>
            </w:pPr>
            <w:r>
              <w:rPr>
                <w:sz w:val="20"/>
                <w:szCs w:val="20"/>
              </w:rPr>
              <w:t>5 October 2021</w:t>
            </w:r>
          </w:p>
        </w:tc>
        <w:tc>
          <w:tcPr>
            <w:tcW w:w="4395" w:type="dxa"/>
          </w:tcPr>
          <w:p w14:paraId="6E13A3A3" w14:textId="77777777" w:rsidR="00FF43B9" w:rsidRPr="00AC34C6" w:rsidRDefault="00FF43B9" w:rsidP="00FF43B9">
            <w:pPr>
              <w:autoSpaceDE w:val="0"/>
              <w:autoSpaceDN w:val="0"/>
              <w:adjustRightInd w:val="0"/>
              <w:spacing w:after="0"/>
              <w:rPr>
                <w:rFonts w:eastAsiaTheme="minorEastAsia" w:cs="Times New Roman"/>
                <w:sz w:val="20"/>
                <w:szCs w:val="20"/>
                <w:lang w:eastAsia="ko-KR"/>
              </w:rPr>
            </w:pPr>
            <w:r w:rsidRPr="00AC34C6">
              <w:rPr>
                <w:sz w:val="20"/>
                <w:szCs w:val="20"/>
              </w:rPr>
              <w:t>The Department did not comply with the statutory processing timeframe.</w:t>
            </w:r>
          </w:p>
          <w:p w14:paraId="74D79C6E" w14:textId="77777777" w:rsidR="00FF43B9" w:rsidRPr="00D94668" w:rsidRDefault="00FF43B9" w:rsidP="00FF43B9">
            <w:pPr>
              <w:rPr>
                <w:sz w:val="20"/>
                <w:szCs w:val="20"/>
              </w:rPr>
            </w:pPr>
          </w:p>
        </w:tc>
        <w:tc>
          <w:tcPr>
            <w:tcW w:w="5811" w:type="dxa"/>
          </w:tcPr>
          <w:p w14:paraId="0AABA32C" w14:textId="77627534" w:rsidR="00FF43B9" w:rsidRPr="00A42461" w:rsidRDefault="00FF43B9" w:rsidP="00FF43B9">
            <w:pPr>
              <w:spacing w:after="120" w:line="240" w:lineRule="auto"/>
              <w:rPr>
                <w:rFonts w:eastAsiaTheme="minorEastAsia" w:cs="Times New Roman"/>
                <w:sz w:val="20"/>
                <w:szCs w:val="20"/>
                <w:lang w:eastAsia="ko-KR"/>
              </w:rPr>
            </w:pPr>
            <w:r>
              <w:rPr>
                <w:rFonts w:eastAsiaTheme="minorEastAsia" w:cs="Times New Roman"/>
                <w:sz w:val="20"/>
                <w:szCs w:val="20"/>
                <w:lang w:eastAsia="ko-KR"/>
              </w:rPr>
              <w:t>Two recommendations were made:</w:t>
            </w:r>
          </w:p>
          <w:p w14:paraId="5776DC06" w14:textId="5FE5B708" w:rsidR="00FF43B9" w:rsidRPr="00BE6D0D" w:rsidRDefault="00FF43B9" w:rsidP="00FF43B9">
            <w:pPr>
              <w:pStyle w:val="ListParagraph"/>
              <w:numPr>
                <w:ilvl w:val="0"/>
                <w:numId w:val="28"/>
              </w:numPr>
              <w:spacing w:after="120" w:line="240" w:lineRule="auto"/>
              <w:ind w:left="181" w:hanging="215"/>
              <w:contextualSpacing w:val="0"/>
              <w:rPr>
                <w:rFonts w:eastAsiaTheme="minorEastAsia" w:cs="Times New Roman"/>
                <w:sz w:val="20"/>
                <w:szCs w:val="20"/>
                <w:lang w:eastAsia="ko-KR"/>
              </w:rPr>
            </w:pPr>
            <w:r w:rsidRPr="00BE6D0D">
              <w:rPr>
                <w:sz w:val="20"/>
                <w:szCs w:val="20"/>
              </w:rPr>
              <w:t>The Department appoint an Information Champion. The Information Champion may be supported by an information governance board to provide leadership, oversight and accountability necessary to promote and operationalise the Department’s compliance with the FOI Act.</w:t>
            </w:r>
          </w:p>
          <w:p w14:paraId="0E991AFB" w14:textId="4C931F67" w:rsidR="00FF43B9" w:rsidRPr="001E1162" w:rsidRDefault="00FF43B9" w:rsidP="00FF43B9">
            <w:pPr>
              <w:pStyle w:val="ListParagraph"/>
              <w:numPr>
                <w:ilvl w:val="0"/>
                <w:numId w:val="28"/>
              </w:numPr>
              <w:spacing w:after="0" w:line="240" w:lineRule="auto"/>
              <w:ind w:left="182" w:hanging="182"/>
              <w:rPr>
                <w:rFonts w:eastAsiaTheme="minorEastAsia" w:cs="Times New Roman"/>
                <w:sz w:val="20"/>
                <w:szCs w:val="20"/>
                <w:lang w:eastAsia="ko-KR"/>
              </w:rPr>
            </w:pPr>
            <w:r w:rsidRPr="00AC34C6">
              <w:rPr>
                <w:sz w:val="20"/>
                <w:szCs w:val="20"/>
              </w:rPr>
              <w:t>The Department provide training to FOI Section staff and relevant Senior Executives</w:t>
            </w:r>
            <w:r w:rsidRPr="00AC34C6">
              <w:rPr>
                <w:b/>
                <w:bCs/>
                <w:sz w:val="20"/>
                <w:szCs w:val="20"/>
              </w:rPr>
              <w:t xml:space="preserve"> </w:t>
            </w:r>
            <w:r w:rsidRPr="00AC34C6">
              <w:rPr>
                <w:sz w:val="20"/>
                <w:szCs w:val="20"/>
              </w:rPr>
              <w:t>about the obligations under the FOI Act to comply with statutory processing periods.</w:t>
            </w:r>
          </w:p>
        </w:tc>
        <w:tc>
          <w:tcPr>
            <w:tcW w:w="2127" w:type="dxa"/>
          </w:tcPr>
          <w:p w14:paraId="22ACBBC5" w14:textId="034F705D" w:rsidR="00FF43B9" w:rsidRDefault="00FF43B9" w:rsidP="00FF43B9">
            <w:pPr>
              <w:rPr>
                <w:sz w:val="20"/>
                <w:szCs w:val="20"/>
              </w:rPr>
            </w:pPr>
            <w:r>
              <w:rPr>
                <w:sz w:val="20"/>
                <w:szCs w:val="20"/>
              </w:rPr>
              <w:t>Accepted findings. Response received.</w:t>
            </w:r>
          </w:p>
        </w:tc>
        <w:tc>
          <w:tcPr>
            <w:tcW w:w="1984" w:type="dxa"/>
          </w:tcPr>
          <w:p w14:paraId="57AC2AF7" w14:textId="6EAC66B2" w:rsidR="00FF43B9" w:rsidRDefault="00FF43B9" w:rsidP="00FF43B9">
            <w:pPr>
              <w:rPr>
                <w:sz w:val="20"/>
                <w:szCs w:val="20"/>
              </w:rPr>
            </w:pPr>
            <w:r>
              <w:rPr>
                <w:sz w:val="20"/>
                <w:szCs w:val="20"/>
              </w:rPr>
              <w:t>No further action to be undertaken.</w:t>
            </w:r>
          </w:p>
        </w:tc>
      </w:tr>
      <w:tr w:rsidR="00FF43B9" w:rsidRPr="00D94668" w14:paraId="1A840F5D" w14:textId="77777777" w:rsidTr="0086062E">
        <w:trPr>
          <w:trHeight w:val="2418"/>
        </w:trPr>
        <w:tc>
          <w:tcPr>
            <w:tcW w:w="1888" w:type="dxa"/>
          </w:tcPr>
          <w:p w14:paraId="6AF76635" w14:textId="79BEBB7A" w:rsidR="00FF43B9" w:rsidRPr="00D26517" w:rsidRDefault="00FF43B9" w:rsidP="00FF43B9">
            <w:pPr>
              <w:rPr>
                <w:sz w:val="20"/>
                <w:szCs w:val="20"/>
              </w:rPr>
            </w:pPr>
            <w:r w:rsidRPr="003C67F1">
              <w:rPr>
                <w:rFonts w:eastAsia="Source Sans Pro"/>
                <w:sz w:val="20"/>
                <w:szCs w:val="20"/>
              </w:rPr>
              <w:t>Department of Veterans' Affairs</w:t>
            </w:r>
          </w:p>
        </w:tc>
        <w:tc>
          <w:tcPr>
            <w:tcW w:w="2223" w:type="dxa"/>
          </w:tcPr>
          <w:p w14:paraId="0B6CDF3F" w14:textId="7C839C39" w:rsidR="00FF43B9" w:rsidRDefault="00FF43B9" w:rsidP="00FF43B9">
            <w:pPr>
              <w:rPr>
                <w:rFonts w:eastAsia="Source Sans Pro"/>
                <w:sz w:val="20"/>
                <w:szCs w:val="20"/>
              </w:rPr>
            </w:pPr>
            <w:r w:rsidRPr="0043119D">
              <w:rPr>
                <w:rFonts w:eastAsia="Source Sans Pro"/>
                <w:sz w:val="20"/>
                <w:szCs w:val="20"/>
              </w:rPr>
              <w:t>Compliance with statutory timeframes for processing FOI request</w:t>
            </w:r>
            <w:r>
              <w:rPr>
                <w:rFonts w:eastAsia="Source Sans Pro"/>
                <w:sz w:val="20"/>
                <w:szCs w:val="20"/>
              </w:rPr>
              <w:t>s</w:t>
            </w:r>
          </w:p>
          <w:p w14:paraId="3018FCAF" w14:textId="6ABD2590" w:rsidR="00FF43B9" w:rsidRPr="00D94668" w:rsidRDefault="00FF43B9" w:rsidP="00FF43B9">
            <w:pPr>
              <w:rPr>
                <w:sz w:val="20"/>
                <w:szCs w:val="20"/>
              </w:rPr>
            </w:pPr>
            <w:r>
              <w:rPr>
                <w:rFonts w:eastAsia="Source Sans Pro"/>
                <w:sz w:val="20"/>
                <w:szCs w:val="20"/>
              </w:rPr>
              <w:t>Compliance with s 29 of the FOI Act</w:t>
            </w:r>
          </w:p>
        </w:tc>
        <w:tc>
          <w:tcPr>
            <w:tcW w:w="1352" w:type="dxa"/>
          </w:tcPr>
          <w:p w14:paraId="49A2A21C" w14:textId="1A3CB5AC" w:rsidR="00FF43B9" w:rsidRPr="00D94668" w:rsidRDefault="00FF43B9" w:rsidP="00FF43B9">
            <w:pPr>
              <w:rPr>
                <w:sz w:val="20"/>
                <w:szCs w:val="20"/>
              </w:rPr>
            </w:pPr>
            <w:r>
              <w:rPr>
                <w:rFonts w:eastAsia="Source Sans Pro"/>
                <w:sz w:val="20"/>
                <w:szCs w:val="20"/>
              </w:rPr>
              <w:t>Non-personal</w:t>
            </w:r>
          </w:p>
        </w:tc>
        <w:tc>
          <w:tcPr>
            <w:tcW w:w="1483" w:type="dxa"/>
          </w:tcPr>
          <w:p w14:paraId="7F31F285" w14:textId="47DB39E7" w:rsidR="00FF43B9" w:rsidRPr="00D94668" w:rsidRDefault="00FF43B9" w:rsidP="00FF43B9">
            <w:pPr>
              <w:rPr>
                <w:sz w:val="20"/>
                <w:szCs w:val="20"/>
              </w:rPr>
            </w:pPr>
            <w:r>
              <w:rPr>
                <w:rFonts w:eastAsia="Source Sans Pro"/>
                <w:sz w:val="20"/>
                <w:szCs w:val="20"/>
              </w:rPr>
              <w:t>24 September 2021</w:t>
            </w:r>
          </w:p>
        </w:tc>
        <w:tc>
          <w:tcPr>
            <w:tcW w:w="4395" w:type="dxa"/>
          </w:tcPr>
          <w:p w14:paraId="24047BCD" w14:textId="77777777" w:rsidR="00FF43B9" w:rsidRDefault="00FF43B9" w:rsidP="00FF43B9">
            <w:pPr>
              <w:pStyle w:val="Default"/>
              <w:rPr>
                <w:rFonts w:asciiTheme="minorHAnsi" w:eastAsia="Source Sans Pro" w:hAnsiTheme="minorHAnsi"/>
                <w:sz w:val="20"/>
                <w:szCs w:val="20"/>
              </w:rPr>
            </w:pPr>
            <w:r>
              <w:rPr>
                <w:rFonts w:asciiTheme="minorHAnsi" w:eastAsia="Source Sans Pro" w:hAnsiTheme="minorHAnsi"/>
                <w:sz w:val="20"/>
                <w:szCs w:val="20"/>
              </w:rPr>
              <w:t>The Department did not comply with the statutory processing timeframes in relation to three FOI requests.</w:t>
            </w:r>
          </w:p>
          <w:p w14:paraId="5B0E28CF" w14:textId="77777777" w:rsidR="00FF43B9" w:rsidRDefault="00FF43B9" w:rsidP="00FF43B9">
            <w:pPr>
              <w:pStyle w:val="Default"/>
              <w:rPr>
                <w:rFonts w:asciiTheme="minorHAnsi" w:eastAsia="Source Sans Pro" w:hAnsiTheme="minorHAnsi"/>
                <w:sz w:val="20"/>
                <w:szCs w:val="20"/>
              </w:rPr>
            </w:pPr>
          </w:p>
          <w:p w14:paraId="3A31DD2A" w14:textId="49407606" w:rsidR="00FF43B9" w:rsidRPr="00D94668" w:rsidRDefault="00FF43B9" w:rsidP="00FF43B9">
            <w:pPr>
              <w:rPr>
                <w:sz w:val="20"/>
                <w:szCs w:val="20"/>
              </w:rPr>
            </w:pPr>
            <w:r>
              <w:rPr>
                <w:rFonts w:eastAsia="Source Sans Pro"/>
                <w:sz w:val="20"/>
                <w:szCs w:val="20"/>
              </w:rPr>
              <w:t>The Department did not comply with s 29(6) in relation to one FOI request</w:t>
            </w:r>
          </w:p>
        </w:tc>
        <w:tc>
          <w:tcPr>
            <w:tcW w:w="5811" w:type="dxa"/>
          </w:tcPr>
          <w:p w14:paraId="1215FA76" w14:textId="04D61A72" w:rsidR="00FF43B9" w:rsidRDefault="00FF43B9" w:rsidP="00FF43B9">
            <w:pPr>
              <w:spacing w:after="0" w:line="240" w:lineRule="auto"/>
              <w:ind w:left="182" w:hanging="142"/>
              <w:contextualSpacing/>
              <w:rPr>
                <w:rFonts w:eastAsia="Source Sans Pro"/>
                <w:sz w:val="20"/>
                <w:szCs w:val="20"/>
              </w:rPr>
            </w:pPr>
            <w:r>
              <w:rPr>
                <w:rFonts w:eastAsia="Source Sans Pro"/>
                <w:sz w:val="20"/>
                <w:szCs w:val="20"/>
              </w:rPr>
              <w:t>One recommendation was made:</w:t>
            </w:r>
          </w:p>
          <w:p w14:paraId="49AE8712" w14:textId="22C7EECE" w:rsidR="00FF43B9" w:rsidRPr="003C67F1" w:rsidRDefault="00FF43B9" w:rsidP="00FF43B9">
            <w:pPr>
              <w:spacing w:after="0" w:line="240" w:lineRule="auto"/>
              <w:ind w:left="182" w:hanging="142"/>
              <w:contextualSpacing/>
              <w:rPr>
                <w:rFonts w:eastAsia="Source Sans Pro"/>
                <w:sz w:val="20"/>
                <w:szCs w:val="20"/>
              </w:rPr>
            </w:pPr>
            <w:r>
              <w:rPr>
                <w:rFonts w:eastAsia="Source Sans Pro"/>
                <w:sz w:val="20"/>
                <w:szCs w:val="20"/>
              </w:rPr>
              <w:t>1. The</w:t>
            </w:r>
            <w:r w:rsidRPr="003C67F1">
              <w:rPr>
                <w:rFonts w:eastAsia="Source Sans Pro"/>
                <w:sz w:val="20"/>
                <w:szCs w:val="20"/>
              </w:rPr>
              <w:t xml:space="preserve"> Department develops and makes available to staff an operational manual</w:t>
            </w:r>
            <w:r>
              <w:rPr>
                <w:rFonts w:eastAsia="Source Sans Pro"/>
                <w:sz w:val="20"/>
                <w:szCs w:val="20"/>
              </w:rPr>
              <w:t xml:space="preserve"> </w:t>
            </w:r>
            <w:r w:rsidRPr="003C67F1">
              <w:rPr>
                <w:rFonts w:eastAsia="Source Sans Pro"/>
                <w:sz w:val="20"/>
                <w:szCs w:val="20"/>
              </w:rPr>
              <w:t>for processing FOI requests that should include, at a minimum, the steps that will be</w:t>
            </w:r>
            <w:r>
              <w:rPr>
                <w:rFonts w:eastAsia="Source Sans Pro"/>
                <w:sz w:val="20"/>
                <w:szCs w:val="20"/>
              </w:rPr>
              <w:t xml:space="preserve"> </w:t>
            </w:r>
            <w:r w:rsidRPr="003C67F1">
              <w:rPr>
                <w:rFonts w:eastAsia="Source Sans Pro"/>
                <w:sz w:val="20"/>
                <w:szCs w:val="20"/>
              </w:rPr>
              <w:t>taken to ensure compliance with statutory processing requirements, including in</w:t>
            </w:r>
            <w:r>
              <w:rPr>
                <w:rFonts w:eastAsia="Source Sans Pro"/>
                <w:sz w:val="20"/>
                <w:szCs w:val="20"/>
              </w:rPr>
              <w:t xml:space="preserve"> </w:t>
            </w:r>
            <w:r w:rsidRPr="003C67F1">
              <w:rPr>
                <w:rFonts w:eastAsia="Source Sans Pro"/>
                <w:sz w:val="20"/>
                <w:szCs w:val="20"/>
              </w:rPr>
              <w:t>relation to:</w:t>
            </w:r>
          </w:p>
          <w:p w14:paraId="47809308" w14:textId="15142056" w:rsidR="00FF43B9" w:rsidRPr="001E1162" w:rsidRDefault="00FF43B9" w:rsidP="00FF43B9">
            <w:pPr>
              <w:pStyle w:val="ListParagraph"/>
              <w:numPr>
                <w:ilvl w:val="0"/>
                <w:numId w:val="82"/>
              </w:numPr>
              <w:spacing w:before="100" w:after="100" w:line="240" w:lineRule="auto"/>
              <w:rPr>
                <w:rFonts w:eastAsia="Source Sans Pro"/>
                <w:sz w:val="20"/>
                <w:szCs w:val="20"/>
              </w:rPr>
            </w:pPr>
            <w:r w:rsidRPr="001E1162">
              <w:rPr>
                <w:rFonts w:eastAsia="Source Sans Pro"/>
                <w:sz w:val="20"/>
                <w:szCs w:val="20"/>
              </w:rPr>
              <w:t>meeting processing timeframes under the FOI Act</w:t>
            </w:r>
          </w:p>
          <w:p w14:paraId="25FE700C" w14:textId="124ECC27" w:rsidR="00FF43B9" w:rsidRPr="001E1162" w:rsidRDefault="00FF43B9" w:rsidP="00FF43B9">
            <w:pPr>
              <w:pStyle w:val="ListParagraph"/>
              <w:numPr>
                <w:ilvl w:val="0"/>
                <w:numId w:val="82"/>
              </w:numPr>
              <w:spacing w:before="100" w:after="100" w:line="240" w:lineRule="auto"/>
              <w:rPr>
                <w:sz w:val="20"/>
                <w:szCs w:val="20"/>
              </w:rPr>
            </w:pPr>
            <w:r w:rsidRPr="001E1162">
              <w:rPr>
                <w:rFonts w:eastAsia="Source Sans Pro"/>
                <w:sz w:val="20"/>
                <w:szCs w:val="20"/>
              </w:rPr>
              <w:t>the steps to be taken when notifying an applicant of the imposition of a charge, including the obligation to provide a decision in accordance with s 29(6).</w:t>
            </w:r>
          </w:p>
        </w:tc>
        <w:tc>
          <w:tcPr>
            <w:tcW w:w="2127" w:type="dxa"/>
          </w:tcPr>
          <w:p w14:paraId="2D1D4365" w14:textId="3825CDE1" w:rsidR="00FF43B9" w:rsidRDefault="00FF43B9" w:rsidP="00FF43B9">
            <w:pPr>
              <w:rPr>
                <w:sz w:val="20"/>
                <w:szCs w:val="20"/>
              </w:rPr>
            </w:pPr>
            <w:r>
              <w:rPr>
                <w:rFonts w:eastAsia="Source Sans Pro"/>
                <w:sz w:val="20"/>
                <w:szCs w:val="20"/>
              </w:rPr>
              <w:t xml:space="preserve">Accepted; to implement. </w:t>
            </w:r>
          </w:p>
        </w:tc>
        <w:tc>
          <w:tcPr>
            <w:tcW w:w="1984" w:type="dxa"/>
          </w:tcPr>
          <w:p w14:paraId="56AF34A9" w14:textId="0183343B" w:rsidR="00FF43B9" w:rsidRDefault="00FF43B9" w:rsidP="00FF43B9">
            <w:pPr>
              <w:rPr>
                <w:sz w:val="20"/>
                <w:szCs w:val="20"/>
              </w:rPr>
            </w:pPr>
            <w:r>
              <w:rPr>
                <w:sz w:val="20"/>
                <w:szCs w:val="20"/>
              </w:rPr>
              <w:t>No further action to be undertaken.</w:t>
            </w:r>
          </w:p>
        </w:tc>
      </w:tr>
      <w:tr w:rsidR="00FF43B9" w:rsidRPr="00D94668" w14:paraId="4B2D18BC" w14:textId="77777777" w:rsidTr="0086062E">
        <w:trPr>
          <w:trHeight w:val="2418"/>
        </w:trPr>
        <w:tc>
          <w:tcPr>
            <w:tcW w:w="1888" w:type="dxa"/>
          </w:tcPr>
          <w:p w14:paraId="009621FD" w14:textId="2194D435" w:rsidR="00FF43B9" w:rsidRPr="00D26517" w:rsidRDefault="00FF43B9" w:rsidP="00FF43B9">
            <w:pPr>
              <w:rPr>
                <w:sz w:val="20"/>
                <w:szCs w:val="20"/>
              </w:rPr>
            </w:pPr>
            <w:r w:rsidRPr="00A87CF0">
              <w:rPr>
                <w:sz w:val="20"/>
                <w:szCs w:val="20"/>
              </w:rPr>
              <w:t>Australian Building and Construction Commission</w:t>
            </w:r>
          </w:p>
        </w:tc>
        <w:tc>
          <w:tcPr>
            <w:tcW w:w="2223" w:type="dxa"/>
          </w:tcPr>
          <w:p w14:paraId="3EFF4787" w14:textId="60497112" w:rsidR="00FF43B9" w:rsidRDefault="00FF43B9" w:rsidP="00FF43B9">
            <w:pPr>
              <w:rPr>
                <w:sz w:val="20"/>
                <w:szCs w:val="20"/>
              </w:rPr>
            </w:pPr>
            <w:r>
              <w:rPr>
                <w:sz w:val="20"/>
                <w:szCs w:val="20"/>
              </w:rPr>
              <w:t>Extending the statutory processing period to conduct third party consultation and related communication with the FOI applicant</w:t>
            </w:r>
          </w:p>
          <w:p w14:paraId="1AA289D4" w14:textId="6267E5E0" w:rsidR="00FF43B9" w:rsidRPr="00D94668" w:rsidRDefault="00FF43B9" w:rsidP="00FF43B9">
            <w:pPr>
              <w:rPr>
                <w:sz w:val="20"/>
                <w:szCs w:val="20"/>
              </w:rPr>
            </w:pPr>
            <w:r>
              <w:rPr>
                <w:sz w:val="20"/>
                <w:szCs w:val="20"/>
              </w:rPr>
              <w:t>Transfer of FOI requests under s 16 of the FOI Act</w:t>
            </w:r>
          </w:p>
        </w:tc>
        <w:tc>
          <w:tcPr>
            <w:tcW w:w="1352" w:type="dxa"/>
          </w:tcPr>
          <w:p w14:paraId="688E5637" w14:textId="236EC50A" w:rsidR="00FF43B9" w:rsidRPr="00D94668" w:rsidRDefault="00FF43B9" w:rsidP="00FF43B9">
            <w:pPr>
              <w:rPr>
                <w:sz w:val="20"/>
                <w:szCs w:val="20"/>
              </w:rPr>
            </w:pPr>
            <w:r>
              <w:rPr>
                <w:sz w:val="20"/>
                <w:szCs w:val="20"/>
              </w:rPr>
              <w:t>Non-personal</w:t>
            </w:r>
          </w:p>
        </w:tc>
        <w:tc>
          <w:tcPr>
            <w:tcW w:w="1483" w:type="dxa"/>
          </w:tcPr>
          <w:p w14:paraId="378E7D45" w14:textId="5D101680" w:rsidR="00FF43B9" w:rsidRPr="00D94668" w:rsidRDefault="00FF43B9" w:rsidP="00FF43B9">
            <w:pPr>
              <w:rPr>
                <w:sz w:val="20"/>
                <w:szCs w:val="20"/>
              </w:rPr>
            </w:pPr>
            <w:r>
              <w:rPr>
                <w:sz w:val="20"/>
                <w:szCs w:val="20"/>
              </w:rPr>
              <w:t>22 September 2021</w:t>
            </w:r>
          </w:p>
        </w:tc>
        <w:tc>
          <w:tcPr>
            <w:tcW w:w="4395" w:type="dxa"/>
          </w:tcPr>
          <w:p w14:paraId="2B17A3C5" w14:textId="77777777" w:rsidR="00FF43B9" w:rsidRDefault="00FF43B9" w:rsidP="00FF43B9">
            <w:pPr>
              <w:pStyle w:val="Default"/>
              <w:rPr>
                <w:rFonts w:asciiTheme="minorHAnsi" w:hAnsiTheme="minorHAnsi" w:cstheme="minorBidi"/>
                <w:color w:val="auto"/>
                <w:sz w:val="20"/>
                <w:szCs w:val="20"/>
                <w:lang w:val="en-AU"/>
              </w:rPr>
            </w:pPr>
            <w:r>
              <w:rPr>
                <w:rFonts w:asciiTheme="minorHAnsi" w:hAnsiTheme="minorHAnsi" w:cstheme="minorBidi"/>
                <w:color w:val="auto"/>
                <w:sz w:val="20"/>
                <w:szCs w:val="20"/>
                <w:lang w:val="en-AU"/>
              </w:rPr>
              <w:t xml:space="preserve">It </w:t>
            </w:r>
            <w:r w:rsidRPr="00E669EB">
              <w:rPr>
                <w:rFonts w:asciiTheme="minorHAnsi" w:hAnsiTheme="minorHAnsi" w:cstheme="minorBidi"/>
                <w:color w:val="auto"/>
                <w:sz w:val="20"/>
                <w:szCs w:val="20"/>
                <w:lang w:val="en-AU"/>
              </w:rPr>
              <w:t>was open to the ABCC to extend the processing timeframe for the FOI request to conduct consultation with third parties under s 27A of the FOI Act, even in circumstances where the subsequent consideration of the documents resulted in a conclusion that consultation was not necessary because the documents initially considered in scope were found to be outside the scope of the request. However, it was not open to the ABCC to extend the timeframe in circumstances where the documents had not been identified or considered against the requirements of s 27A.</w:t>
            </w:r>
          </w:p>
          <w:p w14:paraId="44F27FED" w14:textId="77777777" w:rsidR="00FF43B9" w:rsidRDefault="00FF43B9" w:rsidP="00FF43B9">
            <w:pPr>
              <w:pStyle w:val="Default"/>
              <w:rPr>
                <w:rFonts w:asciiTheme="minorHAnsi" w:hAnsiTheme="minorHAnsi" w:cstheme="minorBidi"/>
                <w:color w:val="auto"/>
                <w:sz w:val="20"/>
                <w:szCs w:val="20"/>
                <w:lang w:val="en-AU"/>
              </w:rPr>
            </w:pPr>
          </w:p>
          <w:p w14:paraId="26228C41" w14:textId="77777777" w:rsidR="00FF43B9" w:rsidRPr="00E669EB" w:rsidRDefault="00FF43B9" w:rsidP="00FF43B9">
            <w:pPr>
              <w:pStyle w:val="Default"/>
              <w:rPr>
                <w:sz w:val="20"/>
                <w:szCs w:val="20"/>
              </w:rPr>
            </w:pPr>
            <w:r w:rsidRPr="00E669EB">
              <w:rPr>
                <w:sz w:val="20"/>
                <w:szCs w:val="20"/>
              </w:rPr>
              <w:t>The consent of the FOI applicant is not required for the transfer of a request under</w:t>
            </w:r>
          </w:p>
          <w:p w14:paraId="706896D5" w14:textId="166B5556" w:rsidR="00FF43B9" w:rsidRPr="00D94668" w:rsidRDefault="00FF43B9" w:rsidP="00FF43B9">
            <w:pPr>
              <w:rPr>
                <w:sz w:val="20"/>
                <w:szCs w:val="20"/>
              </w:rPr>
            </w:pPr>
            <w:r w:rsidRPr="00E669EB">
              <w:rPr>
                <w:sz w:val="20"/>
                <w:szCs w:val="20"/>
              </w:rPr>
              <w:t>s 16 of the FOI Act.</w:t>
            </w:r>
          </w:p>
        </w:tc>
        <w:tc>
          <w:tcPr>
            <w:tcW w:w="5811" w:type="dxa"/>
          </w:tcPr>
          <w:p w14:paraId="4F6C9287" w14:textId="239E1201" w:rsidR="00FF43B9" w:rsidRDefault="00FF43B9" w:rsidP="00FF43B9">
            <w:pPr>
              <w:spacing w:after="0" w:line="240" w:lineRule="auto"/>
              <w:ind w:left="182" w:hanging="182"/>
              <w:rPr>
                <w:sz w:val="20"/>
                <w:szCs w:val="20"/>
              </w:rPr>
            </w:pPr>
            <w:r>
              <w:rPr>
                <w:sz w:val="20"/>
                <w:szCs w:val="20"/>
              </w:rPr>
              <w:t xml:space="preserve">Three recommendations were made: </w:t>
            </w:r>
          </w:p>
          <w:p w14:paraId="300D9945" w14:textId="520297ED" w:rsidR="00FF43B9" w:rsidRDefault="00FF43B9" w:rsidP="00FF43B9">
            <w:pPr>
              <w:spacing w:after="0" w:line="240" w:lineRule="auto"/>
              <w:ind w:left="182" w:hanging="182"/>
              <w:rPr>
                <w:sz w:val="20"/>
                <w:szCs w:val="20"/>
              </w:rPr>
            </w:pPr>
            <w:r>
              <w:rPr>
                <w:sz w:val="20"/>
                <w:szCs w:val="20"/>
              </w:rPr>
              <w:t>1.</w:t>
            </w:r>
            <w:r w:rsidRPr="00E669EB">
              <w:rPr>
                <w:sz w:val="20"/>
                <w:szCs w:val="20"/>
              </w:rPr>
              <w:t>The ABCC should provide guidance to FOI officers to ensure that, prior to extending</w:t>
            </w:r>
            <w:r>
              <w:rPr>
                <w:sz w:val="20"/>
                <w:szCs w:val="20"/>
              </w:rPr>
              <w:t xml:space="preserve"> </w:t>
            </w:r>
            <w:r w:rsidRPr="00E669EB">
              <w:rPr>
                <w:sz w:val="20"/>
                <w:szCs w:val="20"/>
              </w:rPr>
              <w:t>the processing periods as permitted by s 15 of the FOI Act, proper consideration is</w:t>
            </w:r>
            <w:r>
              <w:rPr>
                <w:sz w:val="20"/>
                <w:szCs w:val="20"/>
              </w:rPr>
              <w:t xml:space="preserve"> </w:t>
            </w:r>
            <w:r w:rsidRPr="00E669EB">
              <w:rPr>
                <w:sz w:val="20"/>
                <w:szCs w:val="20"/>
              </w:rPr>
              <w:t>given to the statutory prerequisites to the exercise of that power.</w:t>
            </w:r>
          </w:p>
          <w:p w14:paraId="14BDB5E0" w14:textId="77777777" w:rsidR="00FF43B9" w:rsidRPr="00E669EB" w:rsidRDefault="00FF43B9" w:rsidP="00FF43B9">
            <w:pPr>
              <w:spacing w:after="0" w:line="240" w:lineRule="auto"/>
              <w:ind w:left="182" w:hanging="182"/>
              <w:rPr>
                <w:sz w:val="20"/>
                <w:szCs w:val="20"/>
              </w:rPr>
            </w:pPr>
          </w:p>
          <w:p w14:paraId="4CF702A1" w14:textId="77777777" w:rsidR="00FF43B9" w:rsidRDefault="00FF43B9" w:rsidP="00FF43B9">
            <w:pPr>
              <w:spacing w:after="0" w:line="240" w:lineRule="auto"/>
              <w:ind w:left="182" w:hanging="182"/>
              <w:rPr>
                <w:sz w:val="20"/>
                <w:szCs w:val="20"/>
              </w:rPr>
            </w:pPr>
            <w:r w:rsidRPr="00E669EB">
              <w:rPr>
                <w:sz w:val="20"/>
                <w:szCs w:val="20"/>
              </w:rPr>
              <w:t>2. That the ABCC review its correspondence with FOI applicants to ensure that it is</w:t>
            </w:r>
            <w:r>
              <w:rPr>
                <w:sz w:val="20"/>
                <w:szCs w:val="20"/>
              </w:rPr>
              <w:t xml:space="preserve"> </w:t>
            </w:r>
            <w:r w:rsidRPr="00E669EB">
              <w:rPr>
                <w:sz w:val="20"/>
                <w:szCs w:val="20"/>
              </w:rPr>
              <w:t>clear, accurate and not misleading.</w:t>
            </w:r>
          </w:p>
          <w:p w14:paraId="3B2CB36E" w14:textId="77777777" w:rsidR="00FF43B9" w:rsidRPr="00E669EB" w:rsidRDefault="00FF43B9" w:rsidP="00FF43B9">
            <w:pPr>
              <w:spacing w:after="0" w:line="240" w:lineRule="auto"/>
              <w:ind w:left="182" w:hanging="182"/>
              <w:rPr>
                <w:sz w:val="20"/>
                <w:szCs w:val="20"/>
              </w:rPr>
            </w:pPr>
          </w:p>
          <w:p w14:paraId="33262540" w14:textId="77777777" w:rsidR="00FF43B9" w:rsidRDefault="00FF43B9" w:rsidP="00FF43B9">
            <w:pPr>
              <w:spacing w:after="0"/>
              <w:rPr>
                <w:sz w:val="20"/>
                <w:szCs w:val="20"/>
              </w:rPr>
            </w:pPr>
            <w:r w:rsidRPr="00E669EB">
              <w:rPr>
                <w:sz w:val="20"/>
                <w:szCs w:val="20"/>
              </w:rPr>
              <w:t xml:space="preserve">3. That the ABCC implement systems and processes to ensure that </w:t>
            </w:r>
          </w:p>
          <w:p w14:paraId="342C5320" w14:textId="77777777" w:rsidR="00FF43B9" w:rsidRDefault="00FF43B9" w:rsidP="00FF43B9">
            <w:pPr>
              <w:spacing w:after="0"/>
              <w:rPr>
                <w:sz w:val="20"/>
                <w:szCs w:val="20"/>
              </w:rPr>
            </w:pPr>
            <w:r>
              <w:rPr>
                <w:sz w:val="20"/>
                <w:szCs w:val="20"/>
              </w:rPr>
              <w:t xml:space="preserve">     </w:t>
            </w:r>
            <w:r w:rsidRPr="00E669EB">
              <w:rPr>
                <w:sz w:val="20"/>
                <w:szCs w:val="20"/>
              </w:rPr>
              <w:t>the ABCC</w:t>
            </w:r>
            <w:r>
              <w:rPr>
                <w:sz w:val="20"/>
                <w:szCs w:val="20"/>
              </w:rPr>
              <w:t xml:space="preserve"> </w:t>
            </w:r>
            <w:r w:rsidRPr="00E669EB">
              <w:rPr>
                <w:sz w:val="20"/>
                <w:szCs w:val="20"/>
              </w:rPr>
              <w:t xml:space="preserve">understands and adheres to FOI processing </w:t>
            </w:r>
            <w:r>
              <w:rPr>
                <w:sz w:val="20"/>
                <w:szCs w:val="20"/>
              </w:rPr>
              <w:t xml:space="preserve">  </w:t>
            </w:r>
          </w:p>
          <w:p w14:paraId="776F5041" w14:textId="447C50B5" w:rsidR="00FF43B9" w:rsidRPr="00D94668" w:rsidRDefault="00FF43B9" w:rsidP="00FF43B9">
            <w:pPr>
              <w:spacing w:after="0"/>
              <w:rPr>
                <w:sz w:val="20"/>
                <w:szCs w:val="20"/>
              </w:rPr>
            </w:pPr>
            <w:r>
              <w:rPr>
                <w:sz w:val="20"/>
                <w:szCs w:val="20"/>
              </w:rPr>
              <w:t xml:space="preserve">     </w:t>
            </w:r>
            <w:r w:rsidRPr="00E669EB">
              <w:rPr>
                <w:sz w:val="20"/>
                <w:szCs w:val="20"/>
              </w:rPr>
              <w:t>timeframes.</w:t>
            </w:r>
          </w:p>
        </w:tc>
        <w:tc>
          <w:tcPr>
            <w:tcW w:w="2127" w:type="dxa"/>
          </w:tcPr>
          <w:p w14:paraId="0466B697" w14:textId="5A0DE2FB" w:rsidR="00FF43B9" w:rsidRDefault="00FF43B9" w:rsidP="00FF43B9">
            <w:pPr>
              <w:rPr>
                <w:sz w:val="20"/>
                <w:szCs w:val="20"/>
              </w:rPr>
            </w:pPr>
            <w:r>
              <w:rPr>
                <w:rFonts w:eastAsia="Source Sans Pro"/>
                <w:sz w:val="20"/>
                <w:szCs w:val="20"/>
              </w:rPr>
              <w:t>Accepted and implemented.</w:t>
            </w:r>
          </w:p>
        </w:tc>
        <w:tc>
          <w:tcPr>
            <w:tcW w:w="1984" w:type="dxa"/>
          </w:tcPr>
          <w:p w14:paraId="737784C3" w14:textId="21776EB0" w:rsidR="00FF43B9" w:rsidRDefault="00FF43B9" w:rsidP="00FF43B9">
            <w:pPr>
              <w:rPr>
                <w:sz w:val="20"/>
                <w:szCs w:val="20"/>
              </w:rPr>
            </w:pPr>
            <w:r>
              <w:rPr>
                <w:sz w:val="20"/>
                <w:szCs w:val="20"/>
              </w:rPr>
              <w:t>No further action to be taken.</w:t>
            </w:r>
          </w:p>
        </w:tc>
      </w:tr>
      <w:tr w:rsidR="00FF43B9" w:rsidRPr="00D94668" w14:paraId="04D9904D" w14:textId="77777777" w:rsidTr="0086062E">
        <w:trPr>
          <w:trHeight w:val="2418"/>
        </w:trPr>
        <w:tc>
          <w:tcPr>
            <w:tcW w:w="1888" w:type="dxa"/>
          </w:tcPr>
          <w:p w14:paraId="2F53EA13" w14:textId="77777777" w:rsidR="00FF43B9" w:rsidRPr="00AC34C6" w:rsidRDefault="00FF43B9" w:rsidP="00FF43B9">
            <w:pPr>
              <w:rPr>
                <w:rFonts w:eastAsia="Source Sans Pro"/>
                <w:sz w:val="20"/>
                <w:szCs w:val="20"/>
              </w:rPr>
            </w:pPr>
            <w:r w:rsidRPr="00AC34C6">
              <w:rPr>
                <w:rFonts w:eastAsia="Source Sans Pro"/>
                <w:sz w:val="20"/>
                <w:szCs w:val="20"/>
              </w:rPr>
              <w:lastRenderedPageBreak/>
              <w:t>Services Australia</w:t>
            </w:r>
          </w:p>
          <w:p w14:paraId="0821CC7A" w14:textId="77777777" w:rsidR="00FF43B9" w:rsidRPr="00D26517" w:rsidRDefault="00FF43B9" w:rsidP="00FF43B9">
            <w:pPr>
              <w:rPr>
                <w:sz w:val="20"/>
                <w:szCs w:val="20"/>
              </w:rPr>
            </w:pPr>
          </w:p>
        </w:tc>
        <w:tc>
          <w:tcPr>
            <w:tcW w:w="2223" w:type="dxa"/>
          </w:tcPr>
          <w:p w14:paraId="239A1998" w14:textId="4E7B03B1" w:rsidR="00FF43B9" w:rsidRPr="00AC34C6" w:rsidRDefault="00FF43B9" w:rsidP="00FF43B9">
            <w:pPr>
              <w:rPr>
                <w:rFonts w:eastAsia="Source Sans Pro"/>
                <w:sz w:val="20"/>
                <w:szCs w:val="20"/>
              </w:rPr>
            </w:pPr>
            <w:r w:rsidRPr="00AC34C6">
              <w:rPr>
                <w:rFonts w:eastAsia="Source Sans Pro"/>
                <w:sz w:val="20"/>
                <w:szCs w:val="20"/>
              </w:rPr>
              <w:t>Compliance with Information Publication Scheme (IPS)</w:t>
            </w:r>
          </w:p>
          <w:p w14:paraId="69D497DC" w14:textId="21BF99C6" w:rsidR="00FF43B9" w:rsidRPr="00AC34C6" w:rsidRDefault="00FF43B9" w:rsidP="00FF43B9">
            <w:pPr>
              <w:rPr>
                <w:rFonts w:eastAsia="Source Sans Pro"/>
                <w:sz w:val="20"/>
                <w:szCs w:val="20"/>
              </w:rPr>
            </w:pPr>
            <w:r w:rsidRPr="00AC34C6">
              <w:rPr>
                <w:rFonts w:eastAsia="Source Sans Pro"/>
                <w:sz w:val="20"/>
                <w:szCs w:val="20"/>
              </w:rPr>
              <w:t>Where Services Australia has decided not to publish the document – the reason why it is considered exempt should be published</w:t>
            </w:r>
          </w:p>
          <w:p w14:paraId="13AE2463" w14:textId="77777777" w:rsidR="00FF43B9" w:rsidRPr="00D94668" w:rsidRDefault="00FF43B9" w:rsidP="00FF43B9">
            <w:pPr>
              <w:rPr>
                <w:sz w:val="20"/>
                <w:szCs w:val="20"/>
              </w:rPr>
            </w:pPr>
          </w:p>
        </w:tc>
        <w:tc>
          <w:tcPr>
            <w:tcW w:w="1352" w:type="dxa"/>
          </w:tcPr>
          <w:p w14:paraId="1AB6A90F" w14:textId="74B0D5D3" w:rsidR="00FF43B9" w:rsidRPr="00D94668" w:rsidRDefault="00FF43B9" w:rsidP="00FF43B9">
            <w:pPr>
              <w:rPr>
                <w:sz w:val="20"/>
                <w:szCs w:val="20"/>
              </w:rPr>
            </w:pPr>
            <w:r w:rsidRPr="00AC34C6">
              <w:rPr>
                <w:rFonts w:eastAsia="Source Sans Pro"/>
                <w:sz w:val="20"/>
                <w:szCs w:val="20"/>
              </w:rPr>
              <w:t>Non-personal</w:t>
            </w:r>
          </w:p>
        </w:tc>
        <w:tc>
          <w:tcPr>
            <w:tcW w:w="1483" w:type="dxa"/>
          </w:tcPr>
          <w:p w14:paraId="6C8055AD" w14:textId="6253A479" w:rsidR="00FF43B9" w:rsidRPr="00D94668" w:rsidRDefault="00FF43B9" w:rsidP="00FF43B9">
            <w:pPr>
              <w:rPr>
                <w:sz w:val="20"/>
                <w:szCs w:val="20"/>
              </w:rPr>
            </w:pPr>
            <w:r w:rsidRPr="00AC34C6">
              <w:rPr>
                <w:rFonts w:eastAsia="Source Sans Pro"/>
                <w:sz w:val="20"/>
                <w:szCs w:val="20"/>
              </w:rPr>
              <w:t>17 September 2021</w:t>
            </w:r>
          </w:p>
        </w:tc>
        <w:tc>
          <w:tcPr>
            <w:tcW w:w="4395" w:type="dxa"/>
          </w:tcPr>
          <w:p w14:paraId="1F94C287" w14:textId="77777777" w:rsidR="00FF43B9" w:rsidRPr="00AC34C6" w:rsidRDefault="00FF43B9" w:rsidP="00FF43B9">
            <w:pPr>
              <w:autoSpaceDE w:val="0"/>
              <w:autoSpaceDN w:val="0"/>
              <w:adjustRightInd w:val="0"/>
              <w:rPr>
                <w:rFonts w:eastAsia="Source Sans Pro"/>
                <w:sz w:val="20"/>
                <w:szCs w:val="20"/>
              </w:rPr>
            </w:pPr>
            <w:r w:rsidRPr="00AC34C6">
              <w:rPr>
                <w:rFonts w:eastAsia="Source Sans Pro"/>
                <w:sz w:val="20"/>
                <w:szCs w:val="20"/>
              </w:rPr>
              <w:t>Ser</w:t>
            </w:r>
            <w:r w:rsidRPr="00AC34C6">
              <w:rPr>
                <w:rFonts w:cs="SourceSansPro-Regular"/>
                <w:sz w:val="20"/>
                <w:szCs w:val="20"/>
              </w:rPr>
              <w:t>vices Australia was not required to list the applicable FOI Act exemption against the title of an unpublished document.</w:t>
            </w:r>
          </w:p>
          <w:p w14:paraId="28F77B7A" w14:textId="77777777" w:rsidR="00FF43B9" w:rsidRPr="00AC34C6" w:rsidRDefault="00FF43B9" w:rsidP="00FF43B9">
            <w:pPr>
              <w:autoSpaceDE w:val="0"/>
              <w:autoSpaceDN w:val="0"/>
              <w:adjustRightInd w:val="0"/>
              <w:rPr>
                <w:rFonts w:eastAsia="Source Sans Pro"/>
                <w:sz w:val="20"/>
                <w:szCs w:val="20"/>
              </w:rPr>
            </w:pPr>
            <w:r w:rsidRPr="00AC34C6">
              <w:rPr>
                <w:rFonts w:eastAsia="Source Sans Pro"/>
                <w:sz w:val="20"/>
                <w:szCs w:val="20"/>
              </w:rPr>
              <w:t>Services Australia complied with the Act when it listed titles of operational documents on its IPS.</w:t>
            </w:r>
          </w:p>
          <w:p w14:paraId="1263B4A7" w14:textId="3948C745" w:rsidR="00FF43B9" w:rsidRPr="00D94668" w:rsidRDefault="00FF43B9" w:rsidP="00FF43B9">
            <w:pPr>
              <w:rPr>
                <w:sz w:val="20"/>
                <w:szCs w:val="20"/>
              </w:rPr>
            </w:pPr>
            <w:r w:rsidRPr="00AC34C6">
              <w:rPr>
                <w:rFonts w:cs="SourceSansPro-Regular"/>
                <w:sz w:val="20"/>
                <w:szCs w:val="20"/>
              </w:rPr>
              <w:t>However, the agency’s reliance on requests from the public to reconsider earlier decisions not to publish those documents, in the absence of a more systematic process, is not consistent with the ongoing obligations under Part II of the FOI Act.</w:t>
            </w:r>
          </w:p>
        </w:tc>
        <w:tc>
          <w:tcPr>
            <w:tcW w:w="5811" w:type="dxa"/>
          </w:tcPr>
          <w:p w14:paraId="0CAF3D35" w14:textId="73D22E77" w:rsidR="00FF43B9" w:rsidRDefault="00FF43B9" w:rsidP="00FF43B9">
            <w:pPr>
              <w:autoSpaceDE w:val="0"/>
              <w:autoSpaceDN w:val="0"/>
              <w:adjustRightInd w:val="0"/>
              <w:ind w:left="182" w:hanging="182"/>
              <w:rPr>
                <w:rFonts w:cs="SourceSansPro-Regular"/>
                <w:sz w:val="20"/>
                <w:szCs w:val="20"/>
              </w:rPr>
            </w:pPr>
            <w:r>
              <w:rPr>
                <w:rFonts w:cs="SourceSansPro-Regular"/>
                <w:sz w:val="20"/>
                <w:szCs w:val="20"/>
              </w:rPr>
              <w:t>One recommendation was made:</w:t>
            </w:r>
          </w:p>
          <w:p w14:paraId="00E11109" w14:textId="6EDA8572" w:rsidR="00FF43B9" w:rsidRPr="00AC34C6" w:rsidRDefault="00FF43B9" w:rsidP="00FF43B9">
            <w:pPr>
              <w:autoSpaceDE w:val="0"/>
              <w:autoSpaceDN w:val="0"/>
              <w:adjustRightInd w:val="0"/>
              <w:ind w:left="182" w:hanging="182"/>
              <w:rPr>
                <w:rFonts w:cs="SourceSansPro-Regular"/>
                <w:sz w:val="20"/>
                <w:szCs w:val="20"/>
              </w:rPr>
            </w:pPr>
            <w:r>
              <w:rPr>
                <w:rFonts w:cs="SourceSansPro-Regular"/>
                <w:sz w:val="20"/>
                <w:szCs w:val="20"/>
              </w:rPr>
              <w:t xml:space="preserve">1. </w:t>
            </w:r>
            <w:r w:rsidRPr="00AC34C6">
              <w:rPr>
                <w:rFonts w:cs="SourceSansPro-Regular"/>
                <w:sz w:val="20"/>
                <w:szCs w:val="20"/>
              </w:rPr>
              <w:t>Develop and implement a system to ensure that:</w:t>
            </w:r>
          </w:p>
          <w:p w14:paraId="55572D75" w14:textId="1042ECEF" w:rsidR="00FF43B9" w:rsidRPr="001E1162" w:rsidRDefault="00FF43B9" w:rsidP="00FF43B9">
            <w:pPr>
              <w:pStyle w:val="ListParagraph"/>
              <w:numPr>
                <w:ilvl w:val="0"/>
                <w:numId w:val="83"/>
              </w:numPr>
              <w:autoSpaceDE w:val="0"/>
              <w:autoSpaceDN w:val="0"/>
              <w:adjustRightInd w:val="0"/>
              <w:spacing w:after="120"/>
              <w:rPr>
                <w:rFonts w:cs="SourceSansPro-Regular"/>
                <w:sz w:val="20"/>
                <w:szCs w:val="20"/>
              </w:rPr>
            </w:pPr>
            <w:r w:rsidRPr="001E1162">
              <w:rPr>
                <w:rFonts w:cs="SourceSansPro-Regular"/>
                <w:sz w:val="20"/>
                <w:szCs w:val="20"/>
              </w:rPr>
              <w:t>decisions taken by business areas in relation to the publication of operational information are consistent with Part II of the FOI Act, and</w:t>
            </w:r>
          </w:p>
          <w:p w14:paraId="1616263D" w14:textId="73A597ED" w:rsidR="00FF43B9" w:rsidRPr="001E1162" w:rsidRDefault="00FF43B9" w:rsidP="00FF43B9">
            <w:pPr>
              <w:pStyle w:val="ListParagraph"/>
              <w:numPr>
                <w:ilvl w:val="0"/>
                <w:numId w:val="83"/>
              </w:numPr>
              <w:spacing w:after="0"/>
              <w:rPr>
                <w:sz w:val="20"/>
                <w:szCs w:val="20"/>
              </w:rPr>
            </w:pPr>
            <w:r w:rsidRPr="001E1162">
              <w:rPr>
                <w:rFonts w:cs="SourceSansPro-Regular"/>
                <w:sz w:val="20"/>
                <w:szCs w:val="20"/>
              </w:rPr>
              <w:t>decisions taken by business areas not to publish particular OBPs are periodically reviewed to determine whether the reasons for non-publication continue to apply to the OBP.</w:t>
            </w:r>
          </w:p>
        </w:tc>
        <w:tc>
          <w:tcPr>
            <w:tcW w:w="2127" w:type="dxa"/>
          </w:tcPr>
          <w:p w14:paraId="6AC5B525" w14:textId="38636136" w:rsidR="00FF43B9" w:rsidRDefault="00FF43B9" w:rsidP="00FF43B9">
            <w:pPr>
              <w:rPr>
                <w:sz w:val="20"/>
                <w:szCs w:val="20"/>
              </w:rPr>
            </w:pPr>
            <w:r>
              <w:rPr>
                <w:rFonts w:eastAsia="Source Sans Pro"/>
                <w:sz w:val="20"/>
                <w:szCs w:val="20"/>
              </w:rPr>
              <w:t>Accepted and implemented.</w:t>
            </w:r>
          </w:p>
        </w:tc>
        <w:tc>
          <w:tcPr>
            <w:tcW w:w="1984" w:type="dxa"/>
          </w:tcPr>
          <w:p w14:paraId="3DC3351E" w14:textId="3527CD26" w:rsidR="00FF43B9" w:rsidRDefault="00FF43B9" w:rsidP="00FF43B9">
            <w:pPr>
              <w:rPr>
                <w:sz w:val="20"/>
                <w:szCs w:val="20"/>
              </w:rPr>
            </w:pPr>
            <w:r>
              <w:rPr>
                <w:sz w:val="20"/>
                <w:szCs w:val="20"/>
              </w:rPr>
              <w:t>No further action to be taken.</w:t>
            </w:r>
          </w:p>
        </w:tc>
      </w:tr>
      <w:tr w:rsidR="00FF43B9" w:rsidRPr="00D94668" w14:paraId="07F47FE1" w14:textId="77777777" w:rsidTr="0086062E">
        <w:trPr>
          <w:trHeight w:val="917"/>
        </w:trPr>
        <w:tc>
          <w:tcPr>
            <w:tcW w:w="1888" w:type="dxa"/>
          </w:tcPr>
          <w:p w14:paraId="6427DBFA" w14:textId="3B59B8C0" w:rsidR="00FF43B9" w:rsidRPr="00D26517" w:rsidRDefault="00FF43B9" w:rsidP="00FF43B9">
            <w:pPr>
              <w:rPr>
                <w:sz w:val="20"/>
                <w:szCs w:val="20"/>
              </w:rPr>
            </w:pPr>
            <w:r w:rsidRPr="00271D1D">
              <w:rPr>
                <w:sz w:val="20"/>
                <w:szCs w:val="20"/>
              </w:rPr>
              <w:t>Department of Foreign Affairs and Trade</w:t>
            </w:r>
          </w:p>
        </w:tc>
        <w:tc>
          <w:tcPr>
            <w:tcW w:w="2223" w:type="dxa"/>
          </w:tcPr>
          <w:p w14:paraId="682EFBD5" w14:textId="4957539A" w:rsidR="00FF43B9" w:rsidRPr="00D94668" w:rsidRDefault="00FF43B9" w:rsidP="00FF43B9">
            <w:pPr>
              <w:rPr>
                <w:sz w:val="20"/>
                <w:szCs w:val="20"/>
              </w:rPr>
            </w:pPr>
            <w:r>
              <w:rPr>
                <w:sz w:val="20"/>
                <w:szCs w:val="20"/>
              </w:rPr>
              <w:t>Impartiality of the Internal Review decision maker</w:t>
            </w:r>
          </w:p>
        </w:tc>
        <w:tc>
          <w:tcPr>
            <w:tcW w:w="1352" w:type="dxa"/>
          </w:tcPr>
          <w:p w14:paraId="6D7FF770" w14:textId="66358061" w:rsidR="00FF43B9" w:rsidRPr="00D94668" w:rsidRDefault="00FF43B9" w:rsidP="00FF43B9">
            <w:pPr>
              <w:rPr>
                <w:sz w:val="20"/>
                <w:szCs w:val="20"/>
              </w:rPr>
            </w:pPr>
            <w:r>
              <w:rPr>
                <w:sz w:val="20"/>
                <w:szCs w:val="20"/>
              </w:rPr>
              <w:t>Non-personal</w:t>
            </w:r>
          </w:p>
        </w:tc>
        <w:tc>
          <w:tcPr>
            <w:tcW w:w="1483" w:type="dxa"/>
          </w:tcPr>
          <w:p w14:paraId="61447474" w14:textId="732DDBE0" w:rsidR="00FF43B9" w:rsidRPr="00D94668" w:rsidRDefault="00FF43B9" w:rsidP="00FF43B9">
            <w:pPr>
              <w:rPr>
                <w:sz w:val="20"/>
                <w:szCs w:val="20"/>
              </w:rPr>
            </w:pPr>
            <w:r>
              <w:rPr>
                <w:sz w:val="20"/>
                <w:szCs w:val="20"/>
              </w:rPr>
              <w:t>17 September 2021</w:t>
            </w:r>
          </w:p>
        </w:tc>
        <w:tc>
          <w:tcPr>
            <w:tcW w:w="4395" w:type="dxa"/>
          </w:tcPr>
          <w:p w14:paraId="1A346E38" w14:textId="557622F8" w:rsidR="00FF43B9" w:rsidRPr="00D94668" w:rsidRDefault="00FF43B9" w:rsidP="00FF43B9">
            <w:pPr>
              <w:rPr>
                <w:sz w:val="20"/>
                <w:szCs w:val="20"/>
              </w:rPr>
            </w:pPr>
            <w:r>
              <w:rPr>
                <w:sz w:val="20"/>
                <w:szCs w:val="20"/>
              </w:rPr>
              <w:t>No evidence before the Commissioner which supported the complainant’s contentions.</w:t>
            </w:r>
          </w:p>
        </w:tc>
        <w:tc>
          <w:tcPr>
            <w:tcW w:w="5811" w:type="dxa"/>
          </w:tcPr>
          <w:p w14:paraId="68751948" w14:textId="35E103E7" w:rsidR="00FF43B9" w:rsidRPr="00D94668" w:rsidRDefault="00FF43B9" w:rsidP="00FF43B9">
            <w:pPr>
              <w:spacing w:after="0"/>
              <w:ind w:left="177"/>
              <w:rPr>
                <w:sz w:val="20"/>
                <w:szCs w:val="20"/>
              </w:rPr>
            </w:pPr>
            <w:r>
              <w:rPr>
                <w:sz w:val="20"/>
                <w:szCs w:val="20"/>
              </w:rPr>
              <w:t>No recommendations were made.</w:t>
            </w:r>
          </w:p>
        </w:tc>
        <w:tc>
          <w:tcPr>
            <w:tcW w:w="2127" w:type="dxa"/>
          </w:tcPr>
          <w:p w14:paraId="6F57CF2C" w14:textId="76148706" w:rsidR="00FF43B9" w:rsidRDefault="00FF43B9" w:rsidP="00FF43B9">
            <w:pPr>
              <w:rPr>
                <w:sz w:val="20"/>
                <w:szCs w:val="20"/>
              </w:rPr>
            </w:pPr>
            <w:r>
              <w:rPr>
                <w:sz w:val="20"/>
                <w:szCs w:val="20"/>
              </w:rPr>
              <w:t xml:space="preserve">Not applicable. </w:t>
            </w:r>
          </w:p>
        </w:tc>
        <w:tc>
          <w:tcPr>
            <w:tcW w:w="1984" w:type="dxa"/>
          </w:tcPr>
          <w:p w14:paraId="16B3BA08" w14:textId="12D0B96C" w:rsidR="00FF43B9" w:rsidRDefault="00FF43B9" w:rsidP="00FF43B9">
            <w:pPr>
              <w:rPr>
                <w:sz w:val="20"/>
                <w:szCs w:val="20"/>
              </w:rPr>
            </w:pPr>
            <w:r>
              <w:rPr>
                <w:sz w:val="20"/>
                <w:szCs w:val="20"/>
              </w:rPr>
              <w:t>Not applicable.</w:t>
            </w:r>
          </w:p>
        </w:tc>
      </w:tr>
      <w:tr w:rsidR="00FF43B9" w:rsidRPr="00D94668" w14:paraId="66EB4EA9" w14:textId="77777777" w:rsidTr="0086062E">
        <w:trPr>
          <w:trHeight w:val="2418"/>
        </w:trPr>
        <w:tc>
          <w:tcPr>
            <w:tcW w:w="1888" w:type="dxa"/>
          </w:tcPr>
          <w:p w14:paraId="7938C3FA" w14:textId="77777777" w:rsidR="00FF43B9" w:rsidRPr="00AC34C6" w:rsidRDefault="00FF43B9" w:rsidP="00FF43B9">
            <w:pPr>
              <w:rPr>
                <w:rFonts w:eastAsia="Source Sans Pro"/>
                <w:sz w:val="20"/>
                <w:szCs w:val="20"/>
              </w:rPr>
            </w:pPr>
            <w:r w:rsidRPr="00AC34C6">
              <w:rPr>
                <w:rFonts w:eastAsia="Source Sans Pro"/>
                <w:sz w:val="20"/>
                <w:szCs w:val="20"/>
              </w:rPr>
              <w:t>Services Australia</w:t>
            </w:r>
          </w:p>
          <w:p w14:paraId="71BA9841" w14:textId="77777777" w:rsidR="00FF43B9" w:rsidRPr="00D26517" w:rsidRDefault="00FF43B9" w:rsidP="00FF43B9">
            <w:pPr>
              <w:rPr>
                <w:sz w:val="20"/>
                <w:szCs w:val="20"/>
              </w:rPr>
            </w:pPr>
          </w:p>
        </w:tc>
        <w:tc>
          <w:tcPr>
            <w:tcW w:w="2223" w:type="dxa"/>
          </w:tcPr>
          <w:p w14:paraId="70BF1EDD" w14:textId="1137B8F7" w:rsidR="00FF43B9" w:rsidRPr="00AC34C6" w:rsidRDefault="00FF43B9" w:rsidP="00FF43B9">
            <w:pPr>
              <w:rPr>
                <w:rFonts w:eastAsia="Source Sans Pro"/>
                <w:sz w:val="20"/>
                <w:szCs w:val="20"/>
              </w:rPr>
            </w:pPr>
            <w:r w:rsidRPr="00AC34C6">
              <w:rPr>
                <w:rFonts w:eastAsia="Source Sans Pro"/>
                <w:sz w:val="20"/>
                <w:szCs w:val="20"/>
              </w:rPr>
              <w:t>Compliance with Information Publication Scheme (IPS)</w:t>
            </w:r>
          </w:p>
          <w:p w14:paraId="6F0FEC35" w14:textId="17D9950C" w:rsidR="00FF43B9" w:rsidRPr="00AC34C6" w:rsidRDefault="00FF43B9" w:rsidP="00FF43B9">
            <w:pPr>
              <w:rPr>
                <w:rFonts w:eastAsia="Source Sans Pro"/>
                <w:sz w:val="20"/>
                <w:szCs w:val="20"/>
              </w:rPr>
            </w:pPr>
            <w:r w:rsidRPr="00AC34C6">
              <w:rPr>
                <w:rFonts w:eastAsia="Source Sans Pro"/>
                <w:sz w:val="20"/>
                <w:szCs w:val="20"/>
              </w:rPr>
              <w:t>Imposition of charges for documents held on the IPS requested under the FOI Act</w:t>
            </w:r>
          </w:p>
          <w:p w14:paraId="1E6FEAA8" w14:textId="77777777" w:rsidR="00FF43B9" w:rsidRPr="00D94668" w:rsidRDefault="00FF43B9" w:rsidP="00FF43B9">
            <w:pPr>
              <w:rPr>
                <w:sz w:val="20"/>
                <w:szCs w:val="20"/>
              </w:rPr>
            </w:pPr>
          </w:p>
        </w:tc>
        <w:tc>
          <w:tcPr>
            <w:tcW w:w="1352" w:type="dxa"/>
          </w:tcPr>
          <w:p w14:paraId="4689E641" w14:textId="55B9C21B" w:rsidR="00FF43B9" w:rsidRPr="00D94668" w:rsidRDefault="00FF43B9" w:rsidP="00FF43B9">
            <w:pPr>
              <w:rPr>
                <w:sz w:val="20"/>
                <w:szCs w:val="20"/>
              </w:rPr>
            </w:pPr>
            <w:r w:rsidRPr="00AC34C6">
              <w:rPr>
                <w:rFonts w:eastAsia="Source Sans Pro"/>
                <w:sz w:val="20"/>
                <w:szCs w:val="20"/>
              </w:rPr>
              <w:t>Non-personal</w:t>
            </w:r>
          </w:p>
        </w:tc>
        <w:tc>
          <w:tcPr>
            <w:tcW w:w="1483" w:type="dxa"/>
          </w:tcPr>
          <w:p w14:paraId="3353206F" w14:textId="6EC746A2" w:rsidR="00FF43B9" w:rsidRPr="00D94668" w:rsidRDefault="00FF43B9" w:rsidP="00FF43B9">
            <w:pPr>
              <w:rPr>
                <w:sz w:val="20"/>
                <w:szCs w:val="20"/>
              </w:rPr>
            </w:pPr>
            <w:r w:rsidRPr="00AC34C6">
              <w:rPr>
                <w:rFonts w:eastAsia="Source Sans Pro"/>
                <w:sz w:val="20"/>
                <w:szCs w:val="20"/>
              </w:rPr>
              <w:t>8 September 2021</w:t>
            </w:r>
          </w:p>
        </w:tc>
        <w:tc>
          <w:tcPr>
            <w:tcW w:w="4395" w:type="dxa"/>
          </w:tcPr>
          <w:p w14:paraId="5662C382" w14:textId="77777777" w:rsidR="00FF43B9" w:rsidRPr="00AC34C6" w:rsidRDefault="00FF43B9" w:rsidP="00FF43B9">
            <w:pPr>
              <w:autoSpaceDE w:val="0"/>
              <w:autoSpaceDN w:val="0"/>
              <w:adjustRightInd w:val="0"/>
              <w:rPr>
                <w:rFonts w:cs="SourceSansPro-Regular"/>
                <w:sz w:val="20"/>
                <w:szCs w:val="20"/>
              </w:rPr>
            </w:pPr>
            <w:r w:rsidRPr="00AC34C6">
              <w:rPr>
                <w:rFonts w:eastAsia="Source Sans Pro"/>
                <w:sz w:val="20"/>
                <w:szCs w:val="20"/>
              </w:rPr>
              <w:t xml:space="preserve">At </w:t>
            </w:r>
            <w:r w:rsidRPr="00AC34C6">
              <w:rPr>
                <w:rFonts w:cs="SourceSansPro-Regular"/>
                <w:sz w:val="20"/>
                <w:szCs w:val="20"/>
              </w:rPr>
              <w:t>the time of the complaint, Services Australia did not meet its obligation to publish operational information as required by s</w:t>
            </w:r>
            <w:r>
              <w:rPr>
                <w:rFonts w:cs="SourceSansPro-Regular"/>
                <w:sz w:val="20"/>
                <w:szCs w:val="20"/>
              </w:rPr>
              <w:t> </w:t>
            </w:r>
            <w:r w:rsidRPr="00AC34C6">
              <w:rPr>
                <w:rFonts w:cs="SourceSansPro-Regular"/>
                <w:sz w:val="20"/>
                <w:szCs w:val="20"/>
              </w:rPr>
              <w:t>8(2)(j).</w:t>
            </w:r>
          </w:p>
          <w:p w14:paraId="25F333EF" w14:textId="77777777" w:rsidR="00FF43B9" w:rsidRPr="00AC34C6" w:rsidRDefault="00FF43B9" w:rsidP="00FF43B9">
            <w:pPr>
              <w:autoSpaceDE w:val="0"/>
              <w:autoSpaceDN w:val="0"/>
              <w:adjustRightInd w:val="0"/>
              <w:rPr>
                <w:rFonts w:cs="SourceSansPro-Regular"/>
                <w:sz w:val="20"/>
                <w:szCs w:val="20"/>
              </w:rPr>
            </w:pPr>
            <w:r w:rsidRPr="00AC34C6">
              <w:rPr>
                <w:rFonts w:cs="SourceSansPro-Regular"/>
                <w:sz w:val="20"/>
                <w:szCs w:val="20"/>
              </w:rPr>
              <w:t>Services Australia failed to have adequate systems and processes in place to confirm that business areas were appropriately considering their IPS obligations at the time that Operational Blueprints (OPBs) were created or to ensure that documents appropriately categorised under s 8C were regularly reviewed to consider whether s 8C continued to apply.</w:t>
            </w:r>
          </w:p>
          <w:p w14:paraId="17100D7B" w14:textId="7E1C2C44" w:rsidR="00FF43B9" w:rsidRPr="00D94668" w:rsidRDefault="00FF43B9" w:rsidP="00FF43B9">
            <w:pPr>
              <w:rPr>
                <w:sz w:val="20"/>
                <w:szCs w:val="20"/>
              </w:rPr>
            </w:pPr>
            <w:r w:rsidRPr="00AC34C6">
              <w:rPr>
                <w:rFonts w:cs="SourceSansPro-Regular"/>
                <w:sz w:val="20"/>
                <w:szCs w:val="20"/>
              </w:rPr>
              <w:t>Services Australia did not deliberately withhold documents that were required to be published under the IPS for the purpose of improperly imposing a charge in relation to access requests for those documents, as alleged in the complaint.</w:t>
            </w:r>
          </w:p>
        </w:tc>
        <w:tc>
          <w:tcPr>
            <w:tcW w:w="5811" w:type="dxa"/>
          </w:tcPr>
          <w:p w14:paraId="01EC6DE1" w14:textId="1D8AC8E5" w:rsidR="00FF43B9" w:rsidRDefault="00FF43B9" w:rsidP="00FF43B9">
            <w:pPr>
              <w:autoSpaceDE w:val="0"/>
              <w:autoSpaceDN w:val="0"/>
              <w:adjustRightInd w:val="0"/>
              <w:ind w:left="182" w:hanging="142"/>
              <w:rPr>
                <w:rFonts w:cs="SourceSansPro-Regular"/>
                <w:sz w:val="20"/>
                <w:szCs w:val="20"/>
              </w:rPr>
            </w:pPr>
            <w:r>
              <w:rPr>
                <w:rFonts w:cs="SourceSansPro-Regular"/>
                <w:sz w:val="20"/>
                <w:szCs w:val="20"/>
              </w:rPr>
              <w:t xml:space="preserve">Two recommendations were made: </w:t>
            </w:r>
          </w:p>
          <w:p w14:paraId="515D4E66" w14:textId="1369C4C4" w:rsidR="00FF43B9" w:rsidRPr="00AC34C6" w:rsidRDefault="00FF43B9" w:rsidP="00FF43B9">
            <w:pPr>
              <w:autoSpaceDE w:val="0"/>
              <w:autoSpaceDN w:val="0"/>
              <w:adjustRightInd w:val="0"/>
              <w:ind w:left="182" w:hanging="142"/>
              <w:rPr>
                <w:rFonts w:cs="SourceSansPro-Regular"/>
                <w:sz w:val="20"/>
                <w:szCs w:val="20"/>
              </w:rPr>
            </w:pPr>
            <w:r>
              <w:rPr>
                <w:rFonts w:cs="SourceSansPro-Regular"/>
                <w:sz w:val="20"/>
                <w:szCs w:val="20"/>
              </w:rPr>
              <w:t xml:space="preserve">1. </w:t>
            </w:r>
            <w:r w:rsidRPr="00AC34C6">
              <w:rPr>
                <w:rFonts w:cs="SourceSansPro-Regular"/>
                <w:sz w:val="20"/>
                <w:szCs w:val="20"/>
              </w:rPr>
              <w:t>Develop and implement a system to ensure that:</w:t>
            </w:r>
          </w:p>
          <w:p w14:paraId="03956E55" w14:textId="53C00E0A" w:rsidR="00FF43B9" w:rsidRPr="00C41579" w:rsidRDefault="00FF43B9" w:rsidP="00FF43B9">
            <w:pPr>
              <w:pStyle w:val="ListParagraph"/>
              <w:numPr>
                <w:ilvl w:val="0"/>
                <w:numId w:val="84"/>
              </w:numPr>
              <w:autoSpaceDE w:val="0"/>
              <w:autoSpaceDN w:val="0"/>
              <w:adjustRightInd w:val="0"/>
              <w:spacing w:after="0"/>
              <w:rPr>
                <w:rFonts w:cs="SourceSansPro-Regular"/>
                <w:sz w:val="20"/>
                <w:szCs w:val="20"/>
              </w:rPr>
            </w:pPr>
            <w:r w:rsidRPr="00C41579">
              <w:rPr>
                <w:rFonts w:cs="SourceSansPro-Regular"/>
                <w:sz w:val="20"/>
                <w:szCs w:val="20"/>
              </w:rPr>
              <w:t>decisions taken by business areas in relation to the publication of operational information are consistent with  Part II of the FOI Act, and</w:t>
            </w:r>
          </w:p>
          <w:p w14:paraId="16B66D1A" w14:textId="7B2EB85C" w:rsidR="00FF43B9" w:rsidRPr="00C41579" w:rsidRDefault="00FF43B9" w:rsidP="00FF43B9">
            <w:pPr>
              <w:pStyle w:val="ListParagraph"/>
              <w:numPr>
                <w:ilvl w:val="0"/>
                <w:numId w:val="84"/>
              </w:numPr>
              <w:autoSpaceDE w:val="0"/>
              <w:autoSpaceDN w:val="0"/>
              <w:adjustRightInd w:val="0"/>
              <w:spacing w:after="0"/>
              <w:rPr>
                <w:rFonts w:cs="SourceSansPro-Regular"/>
                <w:sz w:val="20"/>
                <w:szCs w:val="20"/>
              </w:rPr>
            </w:pPr>
            <w:r w:rsidRPr="00C41579">
              <w:rPr>
                <w:rFonts w:cs="SourceSansPro-Regular"/>
                <w:sz w:val="20"/>
                <w:szCs w:val="20"/>
              </w:rPr>
              <w:t>where a decision is taken not to publish an OBP – either because it does not comprise operational information or is exempt under s 8C of the FOI Act – that decision is recorded</w:t>
            </w:r>
          </w:p>
          <w:p w14:paraId="6F843717" w14:textId="7BC10200" w:rsidR="00FF43B9" w:rsidRPr="00C41579" w:rsidRDefault="00FF43B9" w:rsidP="00FF43B9">
            <w:pPr>
              <w:pStyle w:val="ListParagraph"/>
              <w:numPr>
                <w:ilvl w:val="0"/>
                <w:numId w:val="84"/>
              </w:numPr>
              <w:autoSpaceDE w:val="0"/>
              <w:autoSpaceDN w:val="0"/>
              <w:adjustRightInd w:val="0"/>
              <w:spacing w:after="0"/>
              <w:rPr>
                <w:rFonts w:cs="SourceSansPro-Regular"/>
                <w:sz w:val="20"/>
                <w:szCs w:val="20"/>
              </w:rPr>
            </w:pPr>
            <w:r w:rsidRPr="00C41579">
              <w:rPr>
                <w:rFonts w:cs="SourceSansPro-Regular"/>
                <w:sz w:val="20"/>
                <w:szCs w:val="20"/>
              </w:rPr>
              <w:t>decisions taken by business areas not to publish particular OBPs are periodically reviewed to determine whether the reasons for non-publication continue to apply to the OBP.</w:t>
            </w:r>
          </w:p>
          <w:p w14:paraId="266BDB8A" w14:textId="77777777" w:rsidR="00FF43B9" w:rsidRPr="00AC34C6" w:rsidRDefault="00FF43B9" w:rsidP="00FF43B9">
            <w:pPr>
              <w:autoSpaceDE w:val="0"/>
              <w:autoSpaceDN w:val="0"/>
              <w:adjustRightInd w:val="0"/>
              <w:spacing w:after="0"/>
              <w:ind w:left="285"/>
              <w:rPr>
                <w:rFonts w:cs="SourceSansPro-Regular"/>
                <w:sz w:val="20"/>
                <w:szCs w:val="20"/>
              </w:rPr>
            </w:pPr>
          </w:p>
          <w:p w14:paraId="5DE1E247" w14:textId="3E42537C" w:rsidR="00FF43B9" w:rsidRPr="00D94668" w:rsidRDefault="00FF43B9" w:rsidP="00FF43B9">
            <w:pPr>
              <w:spacing w:after="0"/>
              <w:rPr>
                <w:sz w:val="20"/>
                <w:szCs w:val="20"/>
              </w:rPr>
            </w:pPr>
            <w:r w:rsidRPr="00AC34C6">
              <w:rPr>
                <w:rFonts w:cs="SourceSansPro-Regular"/>
                <w:sz w:val="20"/>
                <w:szCs w:val="20"/>
              </w:rPr>
              <w:t>2. Services Australia staff adheres to current internal policies to consider the potential administrative release of OBPs in response to access requests before considering whether a charge should be applied under s 29 of the FOI Act for access to those materials.</w:t>
            </w:r>
          </w:p>
        </w:tc>
        <w:tc>
          <w:tcPr>
            <w:tcW w:w="2127" w:type="dxa"/>
          </w:tcPr>
          <w:p w14:paraId="3DB29948" w14:textId="1248E3A4" w:rsidR="00FF43B9" w:rsidRDefault="00FF43B9" w:rsidP="00FF43B9">
            <w:pPr>
              <w:rPr>
                <w:sz w:val="20"/>
                <w:szCs w:val="20"/>
              </w:rPr>
            </w:pPr>
            <w:r>
              <w:rPr>
                <w:rFonts w:eastAsia="Source Sans Pro"/>
                <w:sz w:val="20"/>
                <w:szCs w:val="20"/>
              </w:rPr>
              <w:t>Accepted and implemented.</w:t>
            </w:r>
          </w:p>
        </w:tc>
        <w:tc>
          <w:tcPr>
            <w:tcW w:w="1984" w:type="dxa"/>
          </w:tcPr>
          <w:p w14:paraId="07AF30AF" w14:textId="3B841351" w:rsidR="00FF43B9" w:rsidRDefault="00FF43B9" w:rsidP="00FF43B9">
            <w:pPr>
              <w:rPr>
                <w:sz w:val="20"/>
                <w:szCs w:val="20"/>
              </w:rPr>
            </w:pPr>
            <w:r>
              <w:rPr>
                <w:sz w:val="20"/>
                <w:szCs w:val="20"/>
              </w:rPr>
              <w:t>No further action to be taken.</w:t>
            </w:r>
          </w:p>
        </w:tc>
      </w:tr>
      <w:tr w:rsidR="00FF43B9" w:rsidRPr="00D94668" w14:paraId="411FDB4C" w14:textId="77777777" w:rsidTr="0086062E">
        <w:trPr>
          <w:trHeight w:val="2418"/>
        </w:trPr>
        <w:tc>
          <w:tcPr>
            <w:tcW w:w="1888" w:type="dxa"/>
          </w:tcPr>
          <w:p w14:paraId="2F132811" w14:textId="6F1E064A" w:rsidR="00FF43B9" w:rsidRPr="00D26517" w:rsidRDefault="00FF43B9" w:rsidP="00FF43B9">
            <w:pPr>
              <w:rPr>
                <w:sz w:val="20"/>
                <w:szCs w:val="20"/>
              </w:rPr>
            </w:pPr>
            <w:r w:rsidRPr="00C15206">
              <w:rPr>
                <w:sz w:val="20"/>
                <w:szCs w:val="20"/>
              </w:rPr>
              <w:t>Department of Defence</w:t>
            </w:r>
          </w:p>
        </w:tc>
        <w:tc>
          <w:tcPr>
            <w:tcW w:w="2223" w:type="dxa"/>
          </w:tcPr>
          <w:p w14:paraId="0CF4F13D" w14:textId="45DBAF1C" w:rsidR="00FF43B9" w:rsidRPr="00D94668" w:rsidRDefault="00FF43B9" w:rsidP="00FF43B9">
            <w:pPr>
              <w:rPr>
                <w:sz w:val="20"/>
                <w:szCs w:val="20"/>
              </w:rPr>
            </w:pPr>
            <w:r w:rsidRPr="00C15206">
              <w:rPr>
                <w:sz w:val="20"/>
                <w:szCs w:val="20"/>
              </w:rPr>
              <w:t xml:space="preserve">The Department’s consultation process conducted during </w:t>
            </w:r>
            <w:r>
              <w:rPr>
                <w:sz w:val="20"/>
                <w:szCs w:val="20"/>
              </w:rPr>
              <w:t xml:space="preserve">the processing of </w:t>
            </w:r>
            <w:r w:rsidRPr="00C15206">
              <w:rPr>
                <w:sz w:val="20"/>
                <w:szCs w:val="20"/>
              </w:rPr>
              <w:t>an FOI request</w:t>
            </w:r>
          </w:p>
        </w:tc>
        <w:tc>
          <w:tcPr>
            <w:tcW w:w="1352" w:type="dxa"/>
          </w:tcPr>
          <w:p w14:paraId="2BD77B91" w14:textId="7DACC28C" w:rsidR="00FF43B9" w:rsidRPr="00D94668" w:rsidRDefault="00FF43B9" w:rsidP="00FF43B9">
            <w:pPr>
              <w:rPr>
                <w:sz w:val="20"/>
                <w:szCs w:val="20"/>
              </w:rPr>
            </w:pPr>
            <w:r w:rsidRPr="00C15206">
              <w:rPr>
                <w:sz w:val="20"/>
                <w:szCs w:val="20"/>
              </w:rPr>
              <w:t>Personal information</w:t>
            </w:r>
          </w:p>
        </w:tc>
        <w:tc>
          <w:tcPr>
            <w:tcW w:w="1483" w:type="dxa"/>
          </w:tcPr>
          <w:p w14:paraId="04AC2B51" w14:textId="039991CB" w:rsidR="00FF43B9" w:rsidRPr="00D94668" w:rsidRDefault="00FF43B9" w:rsidP="00FF43B9">
            <w:pPr>
              <w:rPr>
                <w:sz w:val="20"/>
                <w:szCs w:val="20"/>
              </w:rPr>
            </w:pPr>
            <w:r>
              <w:rPr>
                <w:sz w:val="20"/>
                <w:szCs w:val="20"/>
              </w:rPr>
              <w:t>17 February 2021</w:t>
            </w:r>
          </w:p>
        </w:tc>
        <w:tc>
          <w:tcPr>
            <w:tcW w:w="4395" w:type="dxa"/>
          </w:tcPr>
          <w:p w14:paraId="0AB2F710" w14:textId="77777777" w:rsidR="00FF43B9" w:rsidRDefault="00FF43B9" w:rsidP="00FF43B9">
            <w:pPr>
              <w:pStyle w:val="Default"/>
              <w:rPr>
                <w:rFonts w:asciiTheme="minorHAnsi" w:hAnsiTheme="minorHAnsi" w:cstheme="minorBidi"/>
                <w:color w:val="auto"/>
                <w:sz w:val="20"/>
                <w:szCs w:val="20"/>
                <w:lang w:val="en-AU"/>
              </w:rPr>
            </w:pPr>
            <w:r>
              <w:rPr>
                <w:rFonts w:asciiTheme="minorHAnsi" w:hAnsiTheme="minorHAnsi" w:cstheme="minorBidi"/>
                <w:color w:val="auto"/>
                <w:sz w:val="20"/>
                <w:szCs w:val="20"/>
                <w:lang w:val="en-AU"/>
              </w:rPr>
              <w:t>The Department’s FOI manual sets out the procedure for conducting consultations with third parties. The Department did not consult with the complainant where it was ‘possible to consult’ and ‘reasonably practicable’ to do so.</w:t>
            </w:r>
          </w:p>
          <w:p w14:paraId="5C067A65" w14:textId="77777777" w:rsidR="00FF43B9" w:rsidRPr="00D94668" w:rsidRDefault="00FF43B9" w:rsidP="00FF43B9">
            <w:pPr>
              <w:rPr>
                <w:sz w:val="20"/>
                <w:szCs w:val="20"/>
              </w:rPr>
            </w:pPr>
          </w:p>
        </w:tc>
        <w:tc>
          <w:tcPr>
            <w:tcW w:w="5811" w:type="dxa"/>
          </w:tcPr>
          <w:p w14:paraId="60D5647A" w14:textId="35228846" w:rsidR="00FF43B9" w:rsidRDefault="00FF43B9" w:rsidP="00FF43B9">
            <w:pPr>
              <w:spacing w:after="0"/>
              <w:rPr>
                <w:sz w:val="20"/>
                <w:szCs w:val="20"/>
              </w:rPr>
            </w:pPr>
            <w:r>
              <w:rPr>
                <w:sz w:val="20"/>
                <w:szCs w:val="20"/>
              </w:rPr>
              <w:t>One recommendation was made:</w:t>
            </w:r>
          </w:p>
          <w:p w14:paraId="5097FC41" w14:textId="536FE02A" w:rsidR="00FF43B9" w:rsidRDefault="00FF43B9" w:rsidP="00FF43B9">
            <w:pPr>
              <w:spacing w:after="0"/>
              <w:rPr>
                <w:sz w:val="20"/>
                <w:szCs w:val="20"/>
              </w:rPr>
            </w:pPr>
            <w:r>
              <w:rPr>
                <w:sz w:val="20"/>
                <w:szCs w:val="20"/>
              </w:rPr>
              <w:t xml:space="preserve">1. Issue a statement to staff engaged in processing FOI requests </w:t>
            </w:r>
          </w:p>
          <w:p w14:paraId="3EA17C08" w14:textId="77777777" w:rsidR="00FF43B9" w:rsidRDefault="00FF43B9" w:rsidP="00FF43B9">
            <w:pPr>
              <w:spacing w:after="0"/>
              <w:rPr>
                <w:sz w:val="20"/>
                <w:szCs w:val="20"/>
              </w:rPr>
            </w:pPr>
            <w:r>
              <w:rPr>
                <w:sz w:val="20"/>
                <w:szCs w:val="20"/>
              </w:rPr>
              <w:t xml:space="preserve">     highlighting the Department’s obligations under the FOI Act to </w:t>
            </w:r>
          </w:p>
          <w:p w14:paraId="590ECB9C" w14:textId="77777777" w:rsidR="00FF43B9" w:rsidRDefault="00FF43B9" w:rsidP="00FF43B9">
            <w:pPr>
              <w:spacing w:after="0"/>
              <w:rPr>
                <w:sz w:val="20"/>
                <w:szCs w:val="20"/>
              </w:rPr>
            </w:pPr>
            <w:r>
              <w:rPr>
                <w:sz w:val="20"/>
                <w:szCs w:val="20"/>
              </w:rPr>
              <w:t xml:space="preserve">     consider whether a person might reasonably wish to make a </w:t>
            </w:r>
          </w:p>
          <w:p w14:paraId="65A127F1" w14:textId="77777777" w:rsidR="00FF43B9" w:rsidRDefault="00FF43B9" w:rsidP="00FF43B9">
            <w:pPr>
              <w:spacing w:after="0"/>
              <w:rPr>
                <w:sz w:val="20"/>
                <w:szCs w:val="20"/>
              </w:rPr>
            </w:pPr>
            <w:r>
              <w:rPr>
                <w:sz w:val="20"/>
                <w:szCs w:val="20"/>
              </w:rPr>
              <w:t xml:space="preserve">     contention that the document is conditionally exempt under s </w:t>
            </w:r>
          </w:p>
          <w:p w14:paraId="7A86C6F6" w14:textId="77777777" w:rsidR="00FF43B9" w:rsidRDefault="00FF43B9" w:rsidP="00FF43B9">
            <w:pPr>
              <w:spacing w:after="0"/>
              <w:rPr>
                <w:sz w:val="20"/>
                <w:szCs w:val="20"/>
              </w:rPr>
            </w:pPr>
            <w:r>
              <w:rPr>
                <w:sz w:val="20"/>
                <w:szCs w:val="20"/>
              </w:rPr>
              <w:t xml:space="preserve">     47F of the FOI Act (s27A(1)(b)). The statement should highlight </w:t>
            </w:r>
          </w:p>
          <w:p w14:paraId="6B9841A0" w14:textId="77777777" w:rsidR="00FF43B9" w:rsidRDefault="00FF43B9" w:rsidP="00FF43B9">
            <w:pPr>
              <w:spacing w:after="0"/>
              <w:rPr>
                <w:sz w:val="20"/>
                <w:szCs w:val="20"/>
              </w:rPr>
            </w:pPr>
            <w:r>
              <w:rPr>
                <w:sz w:val="20"/>
                <w:szCs w:val="20"/>
              </w:rPr>
              <w:t xml:space="preserve">     the importance of following the Department’s processes and </w:t>
            </w:r>
          </w:p>
          <w:p w14:paraId="231998AA" w14:textId="77777777" w:rsidR="00FF43B9" w:rsidRDefault="00FF43B9" w:rsidP="00FF43B9">
            <w:pPr>
              <w:spacing w:after="0"/>
              <w:rPr>
                <w:sz w:val="20"/>
                <w:szCs w:val="20"/>
              </w:rPr>
            </w:pPr>
            <w:r>
              <w:rPr>
                <w:sz w:val="20"/>
                <w:szCs w:val="20"/>
              </w:rPr>
              <w:t xml:space="preserve">     procedures when processing and making decisions on FOI </w:t>
            </w:r>
          </w:p>
          <w:p w14:paraId="4721A301" w14:textId="77777777" w:rsidR="00FF43B9" w:rsidRDefault="00FF43B9" w:rsidP="00FF43B9">
            <w:pPr>
              <w:spacing w:after="0"/>
              <w:rPr>
                <w:sz w:val="20"/>
                <w:szCs w:val="20"/>
              </w:rPr>
            </w:pPr>
            <w:r>
              <w:rPr>
                <w:sz w:val="20"/>
                <w:szCs w:val="20"/>
              </w:rPr>
              <w:t xml:space="preserve">     requests where third party information is contained within </w:t>
            </w:r>
          </w:p>
          <w:p w14:paraId="7F9268D4" w14:textId="36057D75" w:rsidR="00FF43B9" w:rsidRPr="00D94668" w:rsidRDefault="00FF43B9" w:rsidP="00FF43B9">
            <w:pPr>
              <w:spacing w:after="0"/>
              <w:rPr>
                <w:sz w:val="20"/>
                <w:szCs w:val="20"/>
              </w:rPr>
            </w:pPr>
            <w:r>
              <w:rPr>
                <w:sz w:val="20"/>
                <w:szCs w:val="20"/>
              </w:rPr>
              <w:t xml:space="preserve">     documents that fall within the scope of an FOI request.</w:t>
            </w:r>
          </w:p>
        </w:tc>
        <w:tc>
          <w:tcPr>
            <w:tcW w:w="2127" w:type="dxa"/>
          </w:tcPr>
          <w:p w14:paraId="2ECC7BB0" w14:textId="23A3CF4A" w:rsidR="00FF43B9" w:rsidRDefault="00FF43B9" w:rsidP="00FF43B9">
            <w:pPr>
              <w:rPr>
                <w:sz w:val="20"/>
                <w:szCs w:val="20"/>
              </w:rPr>
            </w:pPr>
            <w:r>
              <w:rPr>
                <w:sz w:val="20"/>
                <w:szCs w:val="20"/>
              </w:rPr>
              <w:t>Accepted and implemented.</w:t>
            </w:r>
          </w:p>
        </w:tc>
        <w:tc>
          <w:tcPr>
            <w:tcW w:w="1984" w:type="dxa"/>
          </w:tcPr>
          <w:p w14:paraId="75B1CD5A" w14:textId="4175EA17" w:rsidR="00FF43B9" w:rsidRDefault="00FF43B9" w:rsidP="00FF43B9">
            <w:pPr>
              <w:rPr>
                <w:sz w:val="20"/>
                <w:szCs w:val="20"/>
              </w:rPr>
            </w:pPr>
            <w:r>
              <w:rPr>
                <w:sz w:val="20"/>
                <w:szCs w:val="20"/>
              </w:rPr>
              <w:t>No further action to be taken.</w:t>
            </w:r>
          </w:p>
        </w:tc>
      </w:tr>
      <w:tr w:rsidR="00FF43B9" w:rsidRPr="00D94668" w14:paraId="4ABF3C25" w14:textId="77777777" w:rsidTr="0086062E">
        <w:trPr>
          <w:trHeight w:val="2418"/>
        </w:trPr>
        <w:tc>
          <w:tcPr>
            <w:tcW w:w="1888" w:type="dxa"/>
          </w:tcPr>
          <w:p w14:paraId="18DBF34C" w14:textId="37620582" w:rsidR="00FF43B9" w:rsidRPr="00D26517" w:rsidRDefault="00FF43B9" w:rsidP="00FF43B9">
            <w:pPr>
              <w:rPr>
                <w:sz w:val="20"/>
                <w:szCs w:val="20"/>
              </w:rPr>
            </w:pPr>
            <w:r w:rsidRPr="00C15206">
              <w:rPr>
                <w:sz w:val="20"/>
                <w:szCs w:val="20"/>
              </w:rPr>
              <w:lastRenderedPageBreak/>
              <w:t>Department of Defence</w:t>
            </w:r>
          </w:p>
        </w:tc>
        <w:tc>
          <w:tcPr>
            <w:tcW w:w="2223" w:type="dxa"/>
          </w:tcPr>
          <w:p w14:paraId="6B3106EA" w14:textId="77777777" w:rsidR="00FF43B9" w:rsidRPr="00C15206" w:rsidRDefault="00FF43B9" w:rsidP="00FF43B9">
            <w:pPr>
              <w:rPr>
                <w:sz w:val="20"/>
                <w:szCs w:val="20"/>
              </w:rPr>
            </w:pPr>
            <w:r>
              <w:rPr>
                <w:sz w:val="20"/>
                <w:szCs w:val="20"/>
              </w:rPr>
              <w:t>Collection of charges amounts</w:t>
            </w:r>
          </w:p>
          <w:p w14:paraId="4911796F" w14:textId="77777777" w:rsidR="00FF43B9" w:rsidRPr="00D94668" w:rsidRDefault="00FF43B9" w:rsidP="00FF43B9">
            <w:pPr>
              <w:rPr>
                <w:sz w:val="20"/>
                <w:szCs w:val="20"/>
              </w:rPr>
            </w:pPr>
          </w:p>
        </w:tc>
        <w:tc>
          <w:tcPr>
            <w:tcW w:w="1352" w:type="dxa"/>
          </w:tcPr>
          <w:p w14:paraId="3E6C7476" w14:textId="7F80FA30" w:rsidR="00FF43B9" w:rsidRPr="00D94668" w:rsidRDefault="00FF43B9" w:rsidP="00FF43B9">
            <w:pPr>
              <w:rPr>
                <w:sz w:val="20"/>
                <w:szCs w:val="20"/>
              </w:rPr>
            </w:pPr>
            <w:r w:rsidRPr="00C15206">
              <w:rPr>
                <w:sz w:val="20"/>
                <w:szCs w:val="20"/>
              </w:rPr>
              <w:t>Non-personal</w:t>
            </w:r>
          </w:p>
        </w:tc>
        <w:tc>
          <w:tcPr>
            <w:tcW w:w="1483" w:type="dxa"/>
          </w:tcPr>
          <w:p w14:paraId="61BCA43D" w14:textId="337E2BF9" w:rsidR="00FF43B9" w:rsidRPr="00D94668" w:rsidRDefault="00FF43B9" w:rsidP="00FF43B9">
            <w:pPr>
              <w:rPr>
                <w:sz w:val="20"/>
                <w:szCs w:val="20"/>
              </w:rPr>
            </w:pPr>
            <w:r w:rsidRPr="00C15206">
              <w:rPr>
                <w:sz w:val="20"/>
                <w:szCs w:val="20"/>
              </w:rPr>
              <w:t>17 December 2020</w:t>
            </w:r>
          </w:p>
        </w:tc>
        <w:tc>
          <w:tcPr>
            <w:tcW w:w="4395" w:type="dxa"/>
          </w:tcPr>
          <w:p w14:paraId="6A8DF234" w14:textId="77777777" w:rsidR="00FF43B9" w:rsidRPr="00C15206" w:rsidRDefault="00FF43B9" w:rsidP="00FF43B9">
            <w:pPr>
              <w:pStyle w:val="Default"/>
              <w:rPr>
                <w:rFonts w:asciiTheme="minorHAnsi" w:hAnsiTheme="minorHAnsi" w:cstheme="minorBidi"/>
                <w:color w:val="auto"/>
                <w:sz w:val="20"/>
                <w:szCs w:val="20"/>
                <w:lang w:val="en-AU"/>
              </w:rPr>
            </w:pPr>
            <w:r w:rsidRPr="00C15206">
              <w:rPr>
                <w:rFonts w:asciiTheme="minorHAnsi" w:hAnsiTheme="minorHAnsi" w:cstheme="minorBidi"/>
                <w:color w:val="auto"/>
                <w:sz w:val="20"/>
                <w:szCs w:val="20"/>
                <w:lang w:val="en-AU"/>
              </w:rPr>
              <w:t>The Department’s process that require</w:t>
            </w:r>
            <w:r>
              <w:rPr>
                <w:rFonts w:asciiTheme="minorHAnsi" w:hAnsiTheme="minorHAnsi" w:cstheme="minorBidi"/>
                <w:color w:val="auto"/>
                <w:sz w:val="20"/>
                <w:szCs w:val="20"/>
                <w:lang w:val="en-AU"/>
              </w:rPr>
              <w:t>d</w:t>
            </w:r>
            <w:r w:rsidRPr="00C15206">
              <w:rPr>
                <w:rFonts w:asciiTheme="minorHAnsi" w:hAnsiTheme="minorHAnsi" w:cstheme="minorBidi"/>
                <w:color w:val="auto"/>
                <w:sz w:val="20"/>
                <w:szCs w:val="20"/>
                <w:lang w:val="en-AU"/>
              </w:rPr>
              <w:t xml:space="preserve"> an invoice to be raised before allowing a FOI applicant to make a payment in order to recommence the processing period is inefficient and does not facilitate and promote public access to information, promptly and at the lowest reasonable cost. </w:t>
            </w:r>
          </w:p>
          <w:p w14:paraId="62919AB7" w14:textId="77777777" w:rsidR="00FF43B9" w:rsidRPr="00C15206" w:rsidRDefault="00FF43B9" w:rsidP="00FF43B9">
            <w:pPr>
              <w:rPr>
                <w:sz w:val="20"/>
                <w:szCs w:val="20"/>
              </w:rPr>
            </w:pPr>
          </w:p>
          <w:p w14:paraId="1CF59C0B" w14:textId="77777777" w:rsidR="00FF43B9" w:rsidRPr="00D94668" w:rsidRDefault="00FF43B9" w:rsidP="00FF43B9">
            <w:pPr>
              <w:rPr>
                <w:sz w:val="20"/>
                <w:szCs w:val="20"/>
              </w:rPr>
            </w:pPr>
          </w:p>
        </w:tc>
        <w:tc>
          <w:tcPr>
            <w:tcW w:w="5811" w:type="dxa"/>
          </w:tcPr>
          <w:p w14:paraId="169C4FB2" w14:textId="3179E7DC" w:rsidR="00FF43B9" w:rsidRPr="00A76820" w:rsidRDefault="00FF43B9" w:rsidP="00FF43B9">
            <w:pPr>
              <w:spacing w:after="0" w:line="240" w:lineRule="auto"/>
              <w:rPr>
                <w:sz w:val="20"/>
                <w:szCs w:val="20"/>
              </w:rPr>
            </w:pPr>
            <w:r>
              <w:rPr>
                <w:sz w:val="20"/>
                <w:szCs w:val="20"/>
              </w:rPr>
              <w:t xml:space="preserve">Two suggestions were made: </w:t>
            </w:r>
          </w:p>
          <w:p w14:paraId="50B363B3" w14:textId="5BA2FBA2" w:rsidR="00FF43B9" w:rsidRDefault="00FF43B9" w:rsidP="00FF43B9">
            <w:pPr>
              <w:pStyle w:val="ListParagraph"/>
              <w:numPr>
                <w:ilvl w:val="0"/>
                <w:numId w:val="27"/>
              </w:numPr>
              <w:spacing w:after="0" w:line="240" w:lineRule="auto"/>
              <w:rPr>
                <w:sz w:val="20"/>
                <w:szCs w:val="20"/>
              </w:rPr>
            </w:pPr>
            <w:r w:rsidRPr="00C15206">
              <w:rPr>
                <w:sz w:val="20"/>
                <w:szCs w:val="20"/>
              </w:rPr>
              <w:t>Update its guidance to ensure that, where there has been an overpayment of a charges amount, the FOI applicant is to receive a refund in accordance with regulation 10(4)(a) of the FOI Charges Regulations.</w:t>
            </w:r>
          </w:p>
          <w:p w14:paraId="208AF8B7" w14:textId="77777777" w:rsidR="00FF43B9" w:rsidRPr="00C15206" w:rsidRDefault="00FF43B9" w:rsidP="00FF43B9">
            <w:pPr>
              <w:pStyle w:val="ListParagraph"/>
              <w:spacing w:after="0" w:line="240" w:lineRule="auto"/>
              <w:rPr>
                <w:sz w:val="20"/>
                <w:szCs w:val="20"/>
              </w:rPr>
            </w:pPr>
          </w:p>
          <w:p w14:paraId="0D04A5D1" w14:textId="77777777" w:rsidR="00FF43B9" w:rsidRPr="00C15206" w:rsidRDefault="00FF43B9" w:rsidP="00FF43B9">
            <w:pPr>
              <w:pStyle w:val="ListParagraph"/>
              <w:numPr>
                <w:ilvl w:val="0"/>
                <w:numId w:val="27"/>
              </w:numPr>
              <w:autoSpaceDE w:val="0"/>
              <w:autoSpaceDN w:val="0"/>
              <w:adjustRightInd w:val="0"/>
              <w:spacing w:after="0" w:line="240" w:lineRule="auto"/>
              <w:rPr>
                <w:sz w:val="20"/>
                <w:szCs w:val="20"/>
              </w:rPr>
            </w:pPr>
            <w:r w:rsidRPr="00C15206">
              <w:rPr>
                <w:sz w:val="20"/>
                <w:szCs w:val="20"/>
              </w:rPr>
              <w:t>The Department adjust the way it administers charges to:</w:t>
            </w:r>
          </w:p>
          <w:p w14:paraId="065A09F6" w14:textId="77777777" w:rsidR="00FF43B9" w:rsidRDefault="00FF43B9" w:rsidP="00FF43B9">
            <w:pPr>
              <w:pStyle w:val="ListParagraph"/>
              <w:numPr>
                <w:ilvl w:val="0"/>
                <w:numId w:val="85"/>
              </w:numPr>
              <w:autoSpaceDE w:val="0"/>
              <w:autoSpaceDN w:val="0"/>
              <w:adjustRightInd w:val="0"/>
              <w:spacing w:after="0" w:line="240" w:lineRule="auto"/>
              <w:rPr>
                <w:sz w:val="20"/>
                <w:szCs w:val="20"/>
              </w:rPr>
            </w:pPr>
            <w:r w:rsidRPr="00C15206">
              <w:rPr>
                <w:sz w:val="20"/>
                <w:szCs w:val="20"/>
              </w:rPr>
              <w:t xml:space="preserve">Provide payment options at the time of issuing </w:t>
            </w:r>
            <w:proofErr w:type="gramStart"/>
            <w:r w:rsidRPr="00C15206">
              <w:rPr>
                <w:sz w:val="20"/>
                <w:szCs w:val="20"/>
              </w:rPr>
              <w:t>a preliminary charges</w:t>
            </w:r>
            <w:proofErr w:type="gramEnd"/>
            <w:r w:rsidRPr="00C15206">
              <w:rPr>
                <w:sz w:val="20"/>
                <w:szCs w:val="20"/>
              </w:rPr>
              <w:t xml:space="preserve"> notice and</w:t>
            </w:r>
          </w:p>
          <w:p w14:paraId="15700A58" w14:textId="38A30682" w:rsidR="00FF43B9" w:rsidRPr="00D94668" w:rsidRDefault="00FF43B9" w:rsidP="00FF43B9">
            <w:pPr>
              <w:pStyle w:val="ListParagraph"/>
              <w:numPr>
                <w:ilvl w:val="0"/>
                <w:numId w:val="85"/>
              </w:numPr>
              <w:autoSpaceDE w:val="0"/>
              <w:autoSpaceDN w:val="0"/>
              <w:adjustRightInd w:val="0"/>
              <w:spacing w:after="0" w:line="240" w:lineRule="auto"/>
              <w:rPr>
                <w:sz w:val="20"/>
                <w:szCs w:val="20"/>
              </w:rPr>
            </w:pPr>
            <w:r>
              <w:rPr>
                <w:sz w:val="20"/>
                <w:szCs w:val="20"/>
              </w:rPr>
              <w:t>Accept</w:t>
            </w:r>
            <w:r w:rsidRPr="00C15206">
              <w:rPr>
                <w:sz w:val="20"/>
                <w:szCs w:val="20"/>
              </w:rPr>
              <w:t xml:space="preserve"> payment of the charge as notification in writing by the applicant of acceptance of the charge.</w:t>
            </w:r>
            <w:r>
              <w:rPr>
                <w:rStyle w:val="FootnoteReference"/>
                <w:sz w:val="20"/>
                <w:szCs w:val="20"/>
              </w:rPr>
              <w:footnoteReference w:id="8"/>
            </w:r>
          </w:p>
        </w:tc>
        <w:tc>
          <w:tcPr>
            <w:tcW w:w="2127" w:type="dxa"/>
          </w:tcPr>
          <w:p w14:paraId="06499C3A" w14:textId="7BC19515" w:rsidR="00FF43B9" w:rsidRDefault="00FF43B9" w:rsidP="00FF43B9">
            <w:pPr>
              <w:rPr>
                <w:sz w:val="20"/>
                <w:szCs w:val="20"/>
              </w:rPr>
            </w:pPr>
            <w:r>
              <w:rPr>
                <w:sz w:val="20"/>
                <w:szCs w:val="20"/>
              </w:rPr>
              <w:t>Accepted and suggestions implemented.</w:t>
            </w:r>
          </w:p>
        </w:tc>
        <w:tc>
          <w:tcPr>
            <w:tcW w:w="1984" w:type="dxa"/>
          </w:tcPr>
          <w:p w14:paraId="50FB10C5" w14:textId="218B9185" w:rsidR="00FF43B9" w:rsidRDefault="00FF43B9" w:rsidP="00FF43B9">
            <w:pPr>
              <w:rPr>
                <w:sz w:val="20"/>
                <w:szCs w:val="20"/>
              </w:rPr>
            </w:pPr>
            <w:r>
              <w:rPr>
                <w:sz w:val="20"/>
                <w:szCs w:val="20"/>
              </w:rPr>
              <w:t>No further action to be taken.</w:t>
            </w:r>
          </w:p>
        </w:tc>
      </w:tr>
      <w:tr w:rsidR="00FF43B9" w:rsidRPr="00D94668" w14:paraId="03E6C278" w14:textId="77777777" w:rsidTr="0086062E">
        <w:trPr>
          <w:trHeight w:val="2418"/>
        </w:trPr>
        <w:tc>
          <w:tcPr>
            <w:tcW w:w="1888" w:type="dxa"/>
          </w:tcPr>
          <w:p w14:paraId="55F3CB34" w14:textId="77777777" w:rsidR="00FF43B9" w:rsidRDefault="00FF43B9" w:rsidP="00FF43B9">
            <w:pPr>
              <w:rPr>
                <w:sz w:val="20"/>
                <w:szCs w:val="20"/>
              </w:rPr>
            </w:pPr>
            <w:r>
              <w:rPr>
                <w:sz w:val="20"/>
                <w:szCs w:val="20"/>
              </w:rPr>
              <w:t>Department of Home Affairs</w:t>
            </w:r>
          </w:p>
          <w:p w14:paraId="04C77B43" w14:textId="37461254" w:rsidR="00FF43B9" w:rsidRDefault="00FF43B9" w:rsidP="00FF43B9">
            <w:pPr>
              <w:rPr>
                <w:sz w:val="20"/>
                <w:szCs w:val="20"/>
              </w:rPr>
            </w:pPr>
            <w:r>
              <w:rPr>
                <w:sz w:val="20"/>
                <w:szCs w:val="20"/>
              </w:rPr>
              <w:t>This investigation was a Commissioner Initiated Investigation under s 69(2) of the FOI Act.</w:t>
            </w:r>
          </w:p>
          <w:p w14:paraId="3F51CF6F" w14:textId="73D065FF" w:rsidR="00FF43B9" w:rsidRPr="00D26517" w:rsidRDefault="00FF43B9" w:rsidP="00FF43B9">
            <w:pPr>
              <w:rPr>
                <w:sz w:val="20"/>
                <w:szCs w:val="20"/>
              </w:rPr>
            </w:pPr>
            <w:r>
              <w:rPr>
                <w:sz w:val="20"/>
                <w:szCs w:val="20"/>
              </w:rPr>
              <w:t xml:space="preserve">A copy of the Report is available </w:t>
            </w:r>
            <w:hyperlink r:id="rId9" w:history="1">
              <w:r w:rsidRPr="00233F12">
                <w:rPr>
                  <w:rStyle w:val="Hyperlink"/>
                  <w:sz w:val="20"/>
                  <w:szCs w:val="20"/>
                </w:rPr>
                <w:t>here</w:t>
              </w:r>
            </w:hyperlink>
            <w:r>
              <w:rPr>
                <w:sz w:val="20"/>
                <w:szCs w:val="20"/>
              </w:rPr>
              <w:t>.</w:t>
            </w:r>
          </w:p>
        </w:tc>
        <w:tc>
          <w:tcPr>
            <w:tcW w:w="2223" w:type="dxa"/>
          </w:tcPr>
          <w:p w14:paraId="408FABA4" w14:textId="4937979A" w:rsidR="00FF43B9" w:rsidRPr="00D94668" w:rsidRDefault="00FF43B9" w:rsidP="00FF43B9">
            <w:pPr>
              <w:rPr>
                <w:sz w:val="20"/>
                <w:szCs w:val="20"/>
              </w:rPr>
            </w:pPr>
            <w:r>
              <w:rPr>
                <w:sz w:val="20"/>
                <w:szCs w:val="20"/>
              </w:rPr>
              <w:t>Compliance with statutory timeframes for processing FOI request for non-personal information</w:t>
            </w:r>
          </w:p>
        </w:tc>
        <w:tc>
          <w:tcPr>
            <w:tcW w:w="1352" w:type="dxa"/>
          </w:tcPr>
          <w:p w14:paraId="62B89602" w14:textId="1388A4F3" w:rsidR="00FF43B9" w:rsidRPr="00D94668" w:rsidRDefault="00FF43B9" w:rsidP="00FF43B9">
            <w:pPr>
              <w:rPr>
                <w:sz w:val="20"/>
                <w:szCs w:val="20"/>
              </w:rPr>
            </w:pPr>
            <w:r>
              <w:rPr>
                <w:sz w:val="20"/>
                <w:szCs w:val="20"/>
              </w:rPr>
              <w:t>Non-personal</w:t>
            </w:r>
          </w:p>
        </w:tc>
        <w:tc>
          <w:tcPr>
            <w:tcW w:w="1483" w:type="dxa"/>
          </w:tcPr>
          <w:p w14:paraId="5E5FA5FD" w14:textId="7BEBBFE8" w:rsidR="00FF43B9" w:rsidRPr="00D94668" w:rsidRDefault="00FF43B9" w:rsidP="00FF43B9">
            <w:pPr>
              <w:rPr>
                <w:sz w:val="20"/>
                <w:szCs w:val="20"/>
              </w:rPr>
            </w:pPr>
            <w:r>
              <w:rPr>
                <w:sz w:val="20"/>
                <w:szCs w:val="20"/>
              </w:rPr>
              <w:t>11 December 2020</w:t>
            </w:r>
          </w:p>
        </w:tc>
        <w:tc>
          <w:tcPr>
            <w:tcW w:w="4395" w:type="dxa"/>
          </w:tcPr>
          <w:p w14:paraId="27F8ECA3" w14:textId="77777777" w:rsidR="00FF43B9" w:rsidRPr="009C40CA" w:rsidRDefault="00FF43B9" w:rsidP="00FF43B9">
            <w:pPr>
              <w:autoSpaceDE w:val="0"/>
              <w:autoSpaceDN w:val="0"/>
              <w:adjustRightInd w:val="0"/>
              <w:rPr>
                <w:sz w:val="20"/>
                <w:szCs w:val="20"/>
              </w:rPr>
            </w:pPr>
            <w:r w:rsidRPr="009C40CA">
              <w:rPr>
                <w:sz w:val="20"/>
                <w:szCs w:val="20"/>
              </w:rPr>
              <w:t>The information considered in this investigation indicates that the Department does not have adequate governance and systems of accountability in place to ensure compliance with statutory time frames for processing FOI requests for non-personal information.</w:t>
            </w:r>
          </w:p>
          <w:p w14:paraId="139AF3D9" w14:textId="77777777" w:rsidR="00FF43B9" w:rsidRPr="009C40CA" w:rsidRDefault="00FF43B9" w:rsidP="00FF43B9">
            <w:pPr>
              <w:autoSpaceDE w:val="0"/>
              <w:autoSpaceDN w:val="0"/>
              <w:adjustRightInd w:val="0"/>
              <w:rPr>
                <w:sz w:val="20"/>
                <w:szCs w:val="20"/>
              </w:rPr>
            </w:pPr>
            <w:r w:rsidRPr="009C40CA">
              <w:rPr>
                <w:sz w:val="20"/>
                <w:szCs w:val="20"/>
              </w:rPr>
              <w:t>The other key findings from my investigation may be summarised as follows:</w:t>
            </w:r>
          </w:p>
          <w:p w14:paraId="3A897C03" w14:textId="77777777" w:rsidR="00FF43B9" w:rsidRPr="009C40CA" w:rsidRDefault="00FF43B9" w:rsidP="00FF43B9">
            <w:pPr>
              <w:numPr>
                <w:ilvl w:val="0"/>
                <w:numId w:val="24"/>
              </w:numPr>
              <w:autoSpaceDE w:val="0"/>
              <w:autoSpaceDN w:val="0"/>
              <w:adjustRightInd w:val="0"/>
              <w:ind w:left="198" w:hanging="219"/>
              <w:rPr>
                <w:sz w:val="20"/>
                <w:szCs w:val="20"/>
              </w:rPr>
            </w:pPr>
            <w:r w:rsidRPr="009C40CA">
              <w:rPr>
                <w:sz w:val="20"/>
                <w:szCs w:val="20"/>
              </w:rPr>
              <w:t>In a general sense, a greater degree of senior level support and leadership for embedding policies, procedures and systems of accountability for compliance with the statutory processing periods in the FOI Act, would assist the Department in meeting the statutory processing period requirements of the FOI Act.</w:t>
            </w:r>
          </w:p>
          <w:p w14:paraId="47675110" w14:textId="77777777" w:rsidR="00FF43B9" w:rsidRPr="009C40CA" w:rsidRDefault="00FF43B9" w:rsidP="00FF43B9">
            <w:pPr>
              <w:numPr>
                <w:ilvl w:val="0"/>
                <w:numId w:val="24"/>
              </w:numPr>
              <w:autoSpaceDE w:val="0"/>
              <w:autoSpaceDN w:val="0"/>
              <w:adjustRightInd w:val="0"/>
              <w:ind w:left="198" w:hanging="219"/>
              <w:rPr>
                <w:sz w:val="20"/>
                <w:szCs w:val="20"/>
              </w:rPr>
            </w:pPr>
            <w:r w:rsidRPr="009C40CA">
              <w:rPr>
                <w:sz w:val="20"/>
                <w:szCs w:val="20"/>
              </w:rPr>
              <w:t>With regard to the Department’s FOI Section:</w:t>
            </w:r>
          </w:p>
          <w:p w14:paraId="619DA1B6" w14:textId="77777777" w:rsidR="00FF43B9" w:rsidRPr="009C40CA" w:rsidRDefault="00FF43B9" w:rsidP="00FF43B9">
            <w:pPr>
              <w:numPr>
                <w:ilvl w:val="1"/>
                <w:numId w:val="25"/>
              </w:numPr>
              <w:autoSpaceDE w:val="0"/>
              <w:autoSpaceDN w:val="0"/>
              <w:adjustRightInd w:val="0"/>
              <w:ind w:left="481" w:hanging="110"/>
              <w:rPr>
                <w:sz w:val="20"/>
                <w:szCs w:val="20"/>
              </w:rPr>
            </w:pPr>
            <w:r w:rsidRPr="009C40CA">
              <w:rPr>
                <w:sz w:val="20"/>
                <w:szCs w:val="20"/>
              </w:rPr>
              <w:t>There is evidence that not all of the staff within the FOI Section are available to assist in the processing of FOI requests for non-personal information which has contributed to delays in processing these FOI requests.</w:t>
            </w:r>
          </w:p>
          <w:p w14:paraId="7751A738" w14:textId="77777777" w:rsidR="00FF43B9" w:rsidRPr="009C40CA" w:rsidRDefault="00FF43B9" w:rsidP="00FF43B9">
            <w:pPr>
              <w:numPr>
                <w:ilvl w:val="1"/>
                <w:numId w:val="25"/>
              </w:numPr>
              <w:autoSpaceDE w:val="0"/>
              <w:autoSpaceDN w:val="0"/>
              <w:adjustRightInd w:val="0"/>
              <w:ind w:left="481" w:hanging="218"/>
              <w:rPr>
                <w:sz w:val="20"/>
                <w:szCs w:val="20"/>
              </w:rPr>
            </w:pPr>
            <w:r w:rsidRPr="009C40CA">
              <w:rPr>
                <w:sz w:val="20"/>
                <w:szCs w:val="20"/>
              </w:rPr>
              <w:t>The policies and processes that the Department has in place for the FOI Section do not address the steps required, both in relation to escalation and finalisation of decisions, where delays are contributed to by business areas of the Department or third parties.</w:t>
            </w:r>
          </w:p>
          <w:p w14:paraId="128902F6" w14:textId="77777777" w:rsidR="00FF43B9" w:rsidRPr="009C40CA" w:rsidRDefault="00FF43B9" w:rsidP="00FF43B9">
            <w:pPr>
              <w:numPr>
                <w:ilvl w:val="1"/>
                <w:numId w:val="25"/>
              </w:numPr>
              <w:autoSpaceDE w:val="0"/>
              <w:autoSpaceDN w:val="0"/>
              <w:adjustRightInd w:val="0"/>
              <w:ind w:left="481" w:hanging="142"/>
              <w:rPr>
                <w:sz w:val="20"/>
                <w:szCs w:val="20"/>
              </w:rPr>
            </w:pPr>
            <w:r w:rsidRPr="009C40CA">
              <w:rPr>
                <w:sz w:val="20"/>
                <w:szCs w:val="20"/>
              </w:rPr>
              <w:lastRenderedPageBreak/>
              <w:t>The policies and processes that the Department has in place for FOI requests for non-personal information do not adequately address use of the provisions of the FOI Act which enable an agency to seek an extension of time in processing FOI requests.</w:t>
            </w:r>
          </w:p>
          <w:p w14:paraId="2D435556" w14:textId="77777777" w:rsidR="00FF43B9" w:rsidRPr="009C40CA" w:rsidRDefault="00FF43B9" w:rsidP="00FF43B9">
            <w:pPr>
              <w:numPr>
                <w:ilvl w:val="0"/>
                <w:numId w:val="24"/>
              </w:numPr>
              <w:autoSpaceDE w:val="0"/>
              <w:autoSpaceDN w:val="0"/>
              <w:adjustRightInd w:val="0"/>
              <w:ind w:left="339"/>
              <w:rPr>
                <w:sz w:val="20"/>
                <w:szCs w:val="20"/>
              </w:rPr>
            </w:pPr>
            <w:r w:rsidRPr="009C40CA">
              <w:rPr>
                <w:sz w:val="20"/>
                <w:szCs w:val="20"/>
              </w:rPr>
              <w:t>With regard to the business areas of the Department:</w:t>
            </w:r>
          </w:p>
          <w:p w14:paraId="0B2D800A" w14:textId="77777777" w:rsidR="00FF43B9" w:rsidRPr="009C40CA" w:rsidRDefault="00FF43B9" w:rsidP="00FF43B9">
            <w:pPr>
              <w:numPr>
                <w:ilvl w:val="1"/>
                <w:numId w:val="26"/>
              </w:numPr>
              <w:autoSpaceDE w:val="0"/>
              <w:autoSpaceDN w:val="0"/>
              <w:adjustRightInd w:val="0"/>
              <w:ind w:left="481" w:firstLine="0"/>
              <w:rPr>
                <w:sz w:val="20"/>
                <w:szCs w:val="20"/>
              </w:rPr>
            </w:pPr>
            <w:r>
              <w:rPr>
                <w:sz w:val="20"/>
                <w:szCs w:val="20"/>
              </w:rPr>
              <w:t xml:space="preserve"> </w:t>
            </w:r>
            <w:r w:rsidRPr="009C40CA">
              <w:rPr>
                <w:sz w:val="20"/>
                <w:szCs w:val="20"/>
              </w:rPr>
              <w:t>The Department has implemented an approach for processing FOI requests for non-personal information that requires significant engagement by the staff in the business areas to which a relevant FOI request relates.  The training and resources made available to those staff does not facilitate processing FOI requests within the FOI Act statutory processing periods.</w:t>
            </w:r>
          </w:p>
          <w:p w14:paraId="6B95B128" w14:textId="77777777" w:rsidR="00FF43B9" w:rsidRPr="009C40CA" w:rsidRDefault="00FF43B9" w:rsidP="00FF43B9">
            <w:pPr>
              <w:numPr>
                <w:ilvl w:val="1"/>
                <w:numId w:val="26"/>
              </w:numPr>
              <w:autoSpaceDE w:val="0"/>
              <w:autoSpaceDN w:val="0"/>
              <w:adjustRightInd w:val="0"/>
              <w:ind w:left="481" w:hanging="110"/>
              <w:rPr>
                <w:sz w:val="20"/>
                <w:szCs w:val="20"/>
              </w:rPr>
            </w:pPr>
            <w:r w:rsidRPr="009C40CA">
              <w:rPr>
                <w:sz w:val="20"/>
                <w:szCs w:val="20"/>
              </w:rPr>
              <w:t>The Department’s processes for consulting with senior staff, the Department’s Media Operations and Minister’s Office in relation to FOI requests limits the ability of the Department to meet FOI Act statutory processing periods.</w:t>
            </w:r>
          </w:p>
          <w:p w14:paraId="166FBDE5" w14:textId="68BA4E34" w:rsidR="00FF43B9" w:rsidRPr="00D94668" w:rsidRDefault="00FF43B9" w:rsidP="00FF43B9">
            <w:pPr>
              <w:rPr>
                <w:sz w:val="20"/>
                <w:szCs w:val="20"/>
              </w:rPr>
            </w:pPr>
            <w:r w:rsidRPr="009C40CA">
              <w:rPr>
                <w:sz w:val="20"/>
                <w:szCs w:val="20"/>
              </w:rPr>
              <w:t>There are inadequate policies and procedures in place to support compliance with the requirements of section 6C of the FOI Act.</w:t>
            </w:r>
          </w:p>
        </w:tc>
        <w:tc>
          <w:tcPr>
            <w:tcW w:w="5811" w:type="dxa"/>
          </w:tcPr>
          <w:p w14:paraId="7F5B320A" w14:textId="66C2D54F" w:rsidR="00FF43B9" w:rsidRPr="00BA28D9" w:rsidRDefault="00FF43B9" w:rsidP="00FF43B9">
            <w:pPr>
              <w:spacing w:after="240" w:line="240" w:lineRule="auto"/>
              <w:rPr>
                <w:rFonts w:cs="Calibri"/>
                <w:bCs/>
                <w:sz w:val="20"/>
                <w:szCs w:val="20"/>
                <w:lang w:eastAsia="ko-KR"/>
              </w:rPr>
            </w:pPr>
            <w:r w:rsidRPr="00BA28D9">
              <w:rPr>
                <w:rFonts w:cs="Calibri"/>
                <w:bCs/>
                <w:sz w:val="20"/>
                <w:szCs w:val="20"/>
                <w:lang w:eastAsia="ko-KR"/>
              </w:rPr>
              <w:lastRenderedPageBreak/>
              <w:t>Four recommendations were made</w:t>
            </w:r>
            <w:r>
              <w:rPr>
                <w:rFonts w:cs="Calibri"/>
                <w:bCs/>
                <w:sz w:val="20"/>
                <w:szCs w:val="20"/>
                <w:lang w:eastAsia="ko-KR"/>
              </w:rPr>
              <w:t>:</w:t>
            </w:r>
          </w:p>
          <w:p w14:paraId="6BAA68A4" w14:textId="669F10FA" w:rsidR="00FF43B9" w:rsidRPr="00BA28D9" w:rsidRDefault="00FF43B9" w:rsidP="00FF43B9">
            <w:pPr>
              <w:numPr>
                <w:ilvl w:val="0"/>
                <w:numId w:val="21"/>
              </w:numPr>
              <w:spacing w:after="240" w:line="240" w:lineRule="auto"/>
              <w:ind w:left="456"/>
              <w:rPr>
                <w:rFonts w:cs="Calibri"/>
                <w:b/>
                <w:sz w:val="20"/>
                <w:szCs w:val="20"/>
                <w:lang w:eastAsia="ko-KR"/>
              </w:rPr>
            </w:pPr>
            <w:r w:rsidRPr="00BA28D9">
              <w:rPr>
                <w:rFonts w:cs="Calibri"/>
                <w:b/>
                <w:sz w:val="20"/>
                <w:szCs w:val="20"/>
                <w:lang w:eastAsia="ko-KR"/>
              </w:rPr>
              <w:t xml:space="preserve">Appoint an Information Champion </w:t>
            </w:r>
          </w:p>
          <w:p w14:paraId="037D484E" w14:textId="77777777" w:rsidR="00FF43B9" w:rsidRPr="00BA28D9" w:rsidRDefault="00FF43B9" w:rsidP="00FF43B9">
            <w:pPr>
              <w:spacing w:after="240" w:line="240" w:lineRule="auto"/>
              <w:rPr>
                <w:rFonts w:cs="Calibri"/>
                <w:sz w:val="20"/>
                <w:szCs w:val="20"/>
                <w:lang w:eastAsia="ko-KR"/>
              </w:rPr>
            </w:pPr>
            <w:r w:rsidRPr="00BA28D9">
              <w:rPr>
                <w:rFonts w:cs="Calibri"/>
                <w:sz w:val="20"/>
                <w:szCs w:val="20"/>
                <w:lang w:eastAsia="ko-KR"/>
              </w:rPr>
              <w:t>The Information Champion may be supported by an information governance board to provide leadership, oversight and accountability necessary to promote and operationalise compliance by the Department.</w:t>
            </w:r>
          </w:p>
          <w:p w14:paraId="784B7B06" w14:textId="77777777" w:rsidR="00FF43B9" w:rsidRPr="00BA28D9" w:rsidRDefault="00FF43B9" w:rsidP="00FF43B9">
            <w:pPr>
              <w:numPr>
                <w:ilvl w:val="0"/>
                <w:numId w:val="21"/>
              </w:numPr>
              <w:spacing w:after="240" w:line="240" w:lineRule="auto"/>
              <w:ind w:left="314"/>
              <w:rPr>
                <w:rFonts w:cs="Calibri"/>
                <w:b/>
                <w:sz w:val="20"/>
                <w:szCs w:val="20"/>
                <w:lang w:eastAsia="ko-KR"/>
              </w:rPr>
            </w:pPr>
            <w:r w:rsidRPr="00BA28D9">
              <w:rPr>
                <w:rFonts w:cs="Calibri"/>
                <w:b/>
                <w:sz w:val="20"/>
                <w:szCs w:val="20"/>
                <w:lang w:eastAsia="ko-KR"/>
              </w:rPr>
              <w:t>Operational Processes and Procedures</w:t>
            </w:r>
          </w:p>
          <w:p w14:paraId="02BB9935" w14:textId="77777777" w:rsidR="00FF43B9" w:rsidRPr="00BA28D9" w:rsidRDefault="00FF43B9" w:rsidP="00FF43B9">
            <w:pPr>
              <w:spacing w:after="240" w:line="240" w:lineRule="auto"/>
              <w:rPr>
                <w:rFonts w:cs="Calibri"/>
                <w:sz w:val="20"/>
                <w:szCs w:val="20"/>
                <w:lang w:eastAsia="ko-KR"/>
              </w:rPr>
            </w:pPr>
            <w:r w:rsidRPr="00BA28D9">
              <w:rPr>
                <w:rFonts w:cs="Calibri"/>
                <w:sz w:val="20"/>
                <w:szCs w:val="20"/>
                <w:lang w:eastAsia="ko-KR"/>
              </w:rPr>
              <w:t xml:space="preserve">The Department prepare and implement an operational manual for processing FOI requests for non-personal information to be approved by the Information Champion referred to in </w:t>
            </w:r>
            <w:r w:rsidRPr="00BA28D9">
              <w:rPr>
                <w:rFonts w:cs="Calibri"/>
                <w:b/>
                <w:sz w:val="20"/>
                <w:szCs w:val="20"/>
                <w:lang w:eastAsia="ko-KR"/>
              </w:rPr>
              <w:t>Recommendation 1</w:t>
            </w:r>
            <w:r w:rsidRPr="00BA28D9">
              <w:rPr>
                <w:rFonts w:cs="Calibri"/>
                <w:sz w:val="20"/>
                <w:szCs w:val="20"/>
                <w:lang w:eastAsia="ko-KR"/>
              </w:rPr>
              <w:t xml:space="preserve"> and at a minimum:</w:t>
            </w:r>
          </w:p>
          <w:p w14:paraId="71F13BD3" w14:textId="77777777" w:rsidR="00FF43B9" w:rsidRPr="00BA28D9" w:rsidRDefault="00FF43B9" w:rsidP="00FF43B9">
            <w:pPr>
              <w:numPr>
                <w:ilvl w:val="0"/>
                <w:numId w:val="22"/>
              </w:numPr>
              <w:spacing w:after="240" w:line="240" w:lineRule="auto"/>
              <w:ind w:left="456"/>
              <w:rPr>
                <w:rFonts w:cs="Calibri"/>
                <w:sz w:val="20"/>
                <w:szCs w:val="20"/>
                <w:lang w:eastAsia="ko-KR"/>
              </w:rPr>
            </w:pPr>
            <w:r w:rsidRPr="00BA28D9">
              <w:rPr>
                <w:rFonts w:cs="Calibri"/>
                <w:sz w:val="20"/>
                <w:szCs w:val="20"/>
                <w:lang w:eastAsia="ko-KR"/>
              </w:rPr>
              <w:t>specify the steps that will be taken to ensure compliance with statutory processing requirements (as set out in more detail in Part 5),</w:t>
            </w:r>
          </w:p>
          <w:p w14:paraId="4E9108FC" w14:textId="77777777" w:rsidR="00FF43B9" w:rsidRPr="00BA28D9" w:rsidRDefault="00FF43B9" w:rsidP="00FF43B9">
            <w:pPr>
              <w:numPr>
                <w:ilvl w:val="0"/>
                <w:numId w:val="22"/>
              </w:numPr>
              <w:spacing w:after="240" w:line="240" w:lineRule="auto"/>
              <w:ind w:left="456"/>
              <w:rPr>
                <w:rFonts w:cs="Calibri"/>
                <w:sz w:val="20"/>
                <w:szCs w:val="20"/>
                <w:lang w:eastAsia="ko-KR"/>
              </w:rPr>
            </w:pPr>
            <w:r w:rsidRPr="00BA28D9">
              <w:rPr>
                <w:rFonts w:cs="Calibri"/>
                <w:sz w:val="20"/>
                <w:szCs w:val="20"/>
                <w:lang w:eastAsia="ko-KR"/>
              </w:rPr>
              <w:t>specify the steps that will be taken to ensure compliance with section 6C of the FOI Act and the processes to be adopted to request documents from contracted service providers, and</w:t>
            </w:r>
          </w:p>
          <w:p w14:paraId="2D129BB7" w14:textId="77777777" w:rsidR="00FF43B9" w:rsidRPr="00BA28D9" w:rsidRDefault="00FF43B9" w:rsidP="00FF43B9">
            <w:pPr>
              <w:numPr>
                <w:ilvl w:val="0"/>
                <w:numId w:val="22"/>
              </w:numPr>
              <w:spacing w:after="240" w:line="240" w:lineRule="auto"/>
              <w:ind w:left="456"/>
              <w:rPr>
                <w:rFonts w:cs="Calibri"/>
                <w:sz w:val="20"/>
                <w:szCs w:val="20"/>
                <w:lang w:eastAsia="ko-KR"/>
              </w:rPr>
            </w:pPr>
            <w:r w:rsidRPr="00BA28D9">
              <w:rPr>
                <w:rFonts w:cs="Calibri"/>
                <w:sz w:val="20"/>
                <w:szCs w:val="20"/>
                <w:lang w:eastAsia="ko-KR"/>
              </w:rPr>
              <w:t xml:space="preserve">include a short form guidance note to assist business areas in processing FOI requests for non-personal information. </w:t>
            </w:r>
          </w:p>
          <w:p w14:paraId="3DEC9219" w14:textId="77777777" w:rsidR="00FF43B9" w:rsidRPr="00BA28D9" w:rsidRDefault="00FF43B9" w:rsidP="00FF43B9">
            <w:pPr>
              <w:spacing w:after="240" w:line="240" w:lineRule="auto"/>
              <w:rPr>
                <w:rFonts w:cs="Calibri"/>
                <w:sz w:val="20"/>
                <w:szCs w:val="20"/>
                <w:lang w:eastAsia="ko-KR"/>
              </w:rPr>
            </w:pPr>
            <w:r w:rsidRPr="00BA28D9">
              <w:rPr>
                <w:rFonts w:cs="Calibri"/>
                <w:sz w:val="20"/>
                <w:szCs w:val="20"/>
                <w:lang w:eastAsia="ko-KR"/>
              </w:rPr>
              <w:t>Consistent with the requirements of the Information Publication Scheme, the operational manual should be made publicly available by the Department on its website.</w:t>
            </w:r>
          </w:p>
          <w:p w14:paraId="37ADA206" w14:textId="77777777" w:rsidR="00FF43B9" w:rsidRPr="00BA28D9" w:rsidRDefault="00FF43B9" w:rsidP="00FF43B9">
            <w:pPr>
              <w:spacing w:after="240" w:line="240" w:lineRule="auto"/>
              <w:rPr>
                <w:rFonts w:cs="Calibri"/>
                <w:sz w:val="20"/>
                <w:szCs w:val="20"/>
                <w:lang w:eastAsia="ko-KR"/>
              </w:rPr>
            </w:pPr>
            <w:r w:rsidRPr="00BA28D9">
              <w:rPr>
                <w:rFonts w:cs="Calibri"/>
                <w:sz w:val="20"/>
                <w:szCs w:val="20"/>
                <w:lang w:eastAsia="ko-KR"/>
              </w:rPr>
              <w:t>The steps that will be taken to ensure compliance with section 6C of the FOI Act, as referred to in subparagraph (c), should be replicated in all other policies of the Department which relate to contractual requirements for procurement by the Department.</w:t>
            </w:r>
          </w:p>
          <w:p w14:paraId="1B2D8AF6" w14:textId="77777777" w:rsidR="00FF43B9" w:rsidRPr="00BA28D9" w:rsidRDefault="00FF43B9" w:rsidP="00FF43B9">
            <w:pPr>
              <w:keepNext/>
              <w:numPr>
                <w:ilvl w:val="0"/>
                <w:numId w:val="21"/>
              </w:numPr>
              <w:spacing w:after="240" w:line="240" w:lineRule="auto"/>
              <w:ind w:left="312" w:hanging="357"/>
              <w:rPr>
                <w:rFonts w:cs="Calibri"/>
                <w:b/>
                <w:sz w:val="20"/>
                <w:szCs w:val="20"/>
                <w:lang w:eastAsia="ko-KR"/>
              </w:rPr>
            </w:pPr>
            <w:r w:rsidRPr="00BA28D9">
              <w:rPr>
                <w:rFonts w:cs="Calibri"/>
                <w:b/>
                <w:sz w:val="20"/>
                <w:szCs w:val="20"/>
                <w:lang w:eastAsia="ko-KR"/>
              </w:rPr>
              <w:lastRenderedPageBreak/>
              <w:t>Training</w:t>
            </w:r>
          </w:p>
          <w:p w14:paraId="3D38BD7C" w14:textId="77777777" w:rsidR="00FF43B9" w:rsidRPr="00BA28D9" w:rsidRDefault="00FF43B9" w:rsidP="00FF43B9">
            <w:pPr>
              <w:keepNext/>
              <w:spacing w:after="240" w:line="240" w:lineRule="auto"/>
              <w:rPr>
                <w:rFonts w:cs="Calibri"/>
                <w:sz w:val="20"/>
                <w:szCs w:val="20"/>
                <w:lang w:eastAsia="ko-KR"/>
              </w:rPr>
            </w:pPr>
            <w:r w:rsidRPr="00BA28D9">
              <w:rPr>
                <w:rFonts w:cs="Calibri"/>
                <w:sz w:val="20"/>
                <w:szCs w:val="20"/>
                <w:lang w:eastAsia="ko-KR"/>
              </w:rPr>
              <w:t>The Department:</w:t>
            </w:r>
          </w:p>
          <w:p w14:paraId="44CA07C7" w14:textId="77777777" w:rsidR="00FF43B9" w:rsidRPr="00BA28D9" w:rsidRDefault="00FF43B9" w:rsidP="00FF43B9">
            <w:pPr>
              <w:numPr>
                <w:ilvl w:val="0"/>
                <w:numId w:val="86"/>
              </w:numPr>
              <w:spacing w:after="240" w:line="240" w:lineRule="auto"/>
              <w:rPr>
                <w:rFonts w:cs="Calibri"/>
                <w:sz w:val="20"/>
                <w:szCs w:val="20"/>
                <w:lang w:eastAsia="ko-KR"/>
              </w:rPr>
            </w:pPr>
            <w:r w:rsidRPr="00BA28D9">
              <w:rPr>
                <w:rFonts w:cs="Calibri"/>
                <w:sz w:val="20"/>
                <w:szCs w:val="20"/>
                <w:lang w:eastAsia="ko-KR"/>
              </w:rPr>
              <w:t>undertake and complete training for FOI Section staff and other staff (both decision makers and other staff who assist decision makers), and</w:t>
            </w:r>
          </w:p>
          <w:p w14:paraId="15992CF2" w14:textId="77777777" w:rsidR="00FF43B9" w:rsidRPr="00BA28D9" w:rsidRDefault="00FF43B9" w:rsidP="00FF43B9">
            <w:pPr>
              <w:numPr>
                <w:ilvl w:val="0"/>
                <w:numId w:val="86"/>
              </w:numPr>
              <w:spacing w:after="240" w:line="240" w:lineRule="auto"/>
              <w:rPr>
                <w:rFonts w:cs="Calibri"/>
                <w:sz w:val="20"/>
                <w:szCs w:val="20"/>
                <w:lang w:eastAsia="ko-KR"/>
              </w:rPr>
            </w:pPr>
            <w:r w:rsidRPr="00BA28D9">
              <w:rPr>
                <w:rFonts w:cs="Calibri"/>
                <w:sz w:val="20"/>
                <w:szCs w:val="20"/>
                <w:lang w:eastAsia="ko-KR"/>
              </w:rPr>
              <w:t>ensure that online training in processing FOI requests for non-personal information is available to all staff of the Department.</w:t>
            </w:r>
          </w:p>
          <w:p w14:paraId="305DF69D" w14:textId="77777777" w:rsidR="00FF43B9" w:rsidRPr="00BA28D9" w:rsidRDefault="00FF43B9" w:rsidP="00FF43B9">
            <w:pPr>
              <w:spacing w:after="240" w:line="240" w:lineRule="auto"/>
              <w:rPr>
                <w:rFonts w:cs="Calibri"/>
                <w:sz w:val="20"/>
                <w:szCs w:val="20"/>
                <w:lang w:eastAsia="ko-KR"/>
              </w:rPr>
            </w:pPr>
            <w:r w:rsidRPr="00BA28D9">
              <w:rPr>
                <w:rFonts w:cs="Calibri"/>
                <w:sz w:val="20"/>
                <w:szCs w:val="20"/>
                <w:lang w:eastAsia="ko-KR"/>
              </w:rPr>
              <w:t>New staff joining the FOI Section should be trained within 2 weeks of commencing in the FOI Section.</w:t>
            </w:r>
          </w:p>
          <w:p w14:paraId="1FCAAF71" w14:textId="77777777" w:rsidR="00FF43B9" w:rsidRPr="00BA28D9" w:rsidRDefault="00FF43B9" w:rsidP="00FF43B9">
            <w:pPr>
              <w:numPr>
                <w:ilvl w:val="0"/>
                <w:numId w:val="21"/>
              </w:numPr>
              <w:spacing w:after="240" w:line="240" w:lineRule="auto"/>
              <w:ind w:left="314"/>
              <w:rPr>
                <w:rFonts w:cs="Calibri"/>
                <w:b/>
                <w:sz w:val="20"/>
                <w:szCs w:val="20"/>
                <w:lang w:eastAsia="ko-KR"/>
              </w:rPr>
            </w:pPr>
            <w:r w:rsidRPr="00BA28D9">
              <w:rPr>
                <w:rFonts w:cs="Calibri"/>
                <w:b/>
                <w:sz w:val="20"/>
                <w:szCs w:val="20"/>
                <w:lang w:eastAsia="ko-KR"/>
              </w:rPr>
              <w:t>Audit of Compliance</w:t>
            </w:r>
          </w:p>
          <w:p w14:paraId="57D4ABA5" w14:textId="3DB943B0" w:rsidR="00FF43B9" w:rsidRPr="00BA28D9" w:rsidRDefault="00FF43B9" w:rsidP="00FF43B9">
            <w:pPr>
              <w:spacing w:after="0"/>
              <w:rPr>
                <w:sz w:val="20"/>
                <w:szCs w:val="20"/>
              </w:rPr>
            </w:pPr>
            <w:r w:rsidRPr="00BA28D9">
              <w:rPr>
                <w:rFonts w:cs="Calibri"/>
                <w:sz w:val="20"/>
                <w:szCs w:val="20"/>
                <w:lang w:eastAsia="ko-KR"/>
              </w:rPr>
              <w:t xml:space="preserve">The Department undertakes an audit of the processing of FOI requests for non-personal information to assess whether </w:t>
            </w:r>
            <w:r w:rsidRPr="00BA28D9">
              <w:rPr>
                <w:rFonts w:cs="Calibri"/>
                <w:b/>
                <w:sz w:val="20"/>
                <w:szCs w:val="20"/>
                <w:lang w:eastAsia="ko-KR"/>
              </w:rPr>
              <w:t>Recommendations 2 and 3</w:t>
            </w:r>
            <w:r w:rsidRPr="00BA28D9">
              <w:rPr>
                <w:rFonts w:cs="Calibri"/>
                <w:sz w:val="20"/>
                <w:szCs w:val="20"/>
                <w:lang w:eastAsia="ko-KR"/>
              </w:rPr>
              <w:t xml:space="preserve"> have been implemented and operationalised and whether those actions have been sufficient to address the issues identified in this CII.  The audit should be undertaken either by the Department’s internal audit committee or by an external auditor, as determined by the Department.  A copy of the audit report is to be provided to the OAIC.</w:t>
            </w:r>
          </w:p>
        </w:tc>
        <w:tc>
          <w:tcPr>
            <w:tcW w:w="2127" w:type="dxa"/>
          </w:tcPr>
          <w:p w14:paraId="14C9AE4A" w14:textId="31D13CB9" w:rsidR="00FF43B9" w:rsidRDefault="00FF43B9" w:rsidP="00FF43B9">
            <w:pPr>
              <w:rPr>
                <w:sz w:val="20"/>
                <w:szCs w:val="20"/>
              </w:rPr>
            </w:pPr>
            <w:r>
              <w:rPr>
                <w:rFonts w:eastAsia="Source Sans Pro"/>
                <w:sz w:val="20"/>
                <w:szCs w:val="20"/>
              </w:rPr>
              <w:lastRenderedPageBreak/>
              <w:t>Accepted and implemented</w:t>
            </w:r>
          </w:p>
        </w:tc>
        <w:tc>
          <w:tcPr>
            <w:tcW w:w="1984" w:type="dxa"/>
          </w:tcPr>
          <w:p w14:paraId="182FFC17" w14:textId="4DF929CD" w:rsidR="00FF43B9" w:rsidRDefault="00FF43B9" w:rsidP="00FF43B9">
            <w:pPr>
              <w:rPr>
                <w:sz w:val="20"/>
                <w:szCs w:val="20"/>
              </w:rPr>
            </w:pPr>
            <w:r>
              <w:rPr>
                <w:sz w:val="20"/>
                <w:szCs w:val="20"/>
              </w:rPr>
              <w:t>No further action to be taken.</w:t>
            </w:r>
          </w:p>
        </w:tc>
      </w:tr>
      <w:tr w:rsidR="00FF43B9" w:rsidRPr="00D94668" w14:paraId="19939609" w14:textId="77777777" w:rsidTr="001A7241">
        <w:trPr>
          <w:trHeight w:val="931"/>
        </w:trPr>
        <w:tc>
          <w:tcPr>
            <w:tcW w:w="1888" w:type="dxa"/>
          </w:tcPr>
          <w:p w14:paraId="1EE5FB01" w14:textId="56AF3A55" w:rsidR="00FF43B9" w:rsidRPr="00D26517" w:rsidRDefault="00FF43B9" w:rsidP="00FF43B9">
            <w:pPr>
              <w:rPr>
                <w:sz w:val="20"/>
                <w:szCs w:val="20"/>
              </w:rPr>
            </w:pPr>
            <w:r>
              <w:rPr>
                <w:sz w:val="20"/>
                <w:szCs w:val="20"/>
              </w:rPr>
              <w:t>The Australian National University (the ANU)</w:t>
            </w:r>
          </w:p>
        </w:tc>
        <w:tc>
          <w:tcPr>
            <w:tcW w:w="2223" w:type="dxa"/>
          </w:tcPr>
          <w:p w14:paraId="77DB2023" w14:textId="79C37307" w:rsidR="00FF43B9" w:rsidRPr="00D94668" w:rsidRDefault="00FF43B9" w:rsidP="00FF43B9">
            <w:pPr>
              <w:rPr>
                <w:sz w:val="20"/>
                <w:szCs w:val="20"/>
              </w:rPr>
            </w:pPr>
            <w:r w:rsidRPr="002165CA">
              <w:rPr>
                <w:sz w:val="20"/>
                <w:szCs w:val="20"/>
              </w:rPr>
              <w:t>Compliance with statutory timeframes</w:t>
            </w:r>
            <w:r>
              <w:rPr>
                <w:sz w:val="20"/>
                <w:szCs w:val="20"/>
              </w:rPr>
              <w:t>.</w:t>
            </w:r>
            <w:r w:rsidRPr="002165CA">
              <w:rPr>
                <w:sz w:val="20"/>
                <w:szCs w:val="20"/>
              </w:rPr>
              <w:t xml:space="preserve"> </w:t>
            </w:r>
            <w:r>
              <w:rPr>
                <w:sz w:val="20"/>
                <w:szCs w:val="20"/>
              </w:rPr>
              <w:t>Communication regarding the processing delays</w:t>
            </w:r>
          </w:p>
        </w:tc>
        <w:tc>
          <w:tcPr>
            <w:tcW w:w="1352" w:type="dxa"/>
          </w:tcPr>
          <w:p w14:paraId="2C6CE98F" w14:textId="0CEF2524" w:rsidR="00FF43B9" w:rsidRPr="00D94668" w:rsidRDefault="00FF43B9" w:rsidP="00FF43B9">
            <w:pPr>
              <w:rPr>
                <w:sz w:val="20"/>
                <w:szCs w:val="20"/>
              </w:rPr>
            </w:pPr>
            <w:r>
              <w:rPr>
                <w:sz w:val="20"/>
                <w:szCs w:val="20"/>
              </w:rPr>
              <w:t>Personal information</w:t>
            </w:r>
          </w:p>
        </w:tc>
        <w:tc>
          <w:tcPr>
            <w:tcW w:w="1483" w:type="dxa"/>
          </w:tcPr>
          <w:p w14:paraId="6948DCC0" w14:textId="7BB542BA" w:rsidR="00FF43B9" w:rsidRPr="00D94668" w:rsidRDefault="00FF43B9" w:rsidP="00FF43B9">
            <w:pPr>
              <w:rPr>
                <w:sz w:val="20"/>
                <w:szCs w:val="20"/>
              </w:rPr>
            </w:pPr>
            <w:r>
              <w:rPr>
                <w:sz w:val="20"/>
                <w:szCs w:val="20"/>
              </w:rPr>
              <w:t>14 September 2020</w:t>
            </w:r>
          </w:p>
        </w:tc>
        <w:tc>
          <w:tcPr>
            <w:tcW w:w="4395" w:type="dxa"/>
          </w:tcPr>
          <w:p w14:paraId="19E472CE" w14:textId="77777777" w:rsidR="00FF43B9" w:rsidRPr="005E43B6" w:rsidRDefault="00FF43B9" w:rsidP="00FF43B9">
            <w:pPr>
              <w:autoSpaceDE w:val="0"/>
              <w:autoSpaceDN w:val="0"/>
              <w:adjustRightInd w:val="0"/>
              <w:rPr>
                <w:sz w:val="20"/>
                <w:szCs w:val="20"/>
              </w:rPr>
            </w:pPr>
            <w:r w:rsidRPr="005E43B6">
              <w:rPr>
                <w:sz w:val="20"/>
                <w:szCs w:val="20"/>
              </w:rPr>
              <w:t>The statutory timeframe was not extended by agreement under s 15AA, or as a result of consultation (ss 15(6), 15(8), 26A, 27, 27A), or under ss 15AB or 15AC.</w:t>
            </w:r>
          </w:p>
          <w:p w14:paraId="6C150261" w14:textId="77777777" w:rsidR="00FF43B9" w:rsidRDefault="00FF43B9" w:rsidP="00FF43B9">
            <w:pPr>
              <w:autoSpaceDE w:val="0"/>
              <w:autoSpaceDN w:val="0"/>
              <w:adjustRightInd w:val="0"/>
              <w:rPr>
                <w:sz w:val="20"/>
                <w:szCs w:val="20"/>
              </w:rPr>
            </w:pPr>
            <w:r w:rsidRPr="005E43B6">
              <w:rPr>
                <w:sz w:val="20"/>
                <w:szCs w:val="20"/>
              </w:rPr>
              <w:t>The ANU exceeded the statutory processing period by 26 days without authority.</w:t>
            </w:r>
          </w:p>
          <w:p w14:paraId="2B49AEBB" w14:textId="7D093041" w:rsidR="00FF43B9" w:rsidRPr="00D94668" w:rsidRDefault="00FF43B9" w:rsidP="00FF43B9">
            <w:pPr>
              <w:rPr>
                <w:sz w:val="20"/>
                <w:szCs w:val="20"/>
              </w:rPr>
            </w:pPr>
            <w:r w:rsidRPr="005E43B6">
              <w:rPr>
                <w:sz w:val="20"/>
                <w:szCs w:val="20"/>
              </w:rPr>
              <w:t xml:space="preserve"> The ANU updated the complainant about the processing of the request and provided reasons for the delay.</w:t>
            </w:r>
          </w:p>
        </w:tc>
        <w:tc>
          <w:tcPr>
            <w:tcW w:w="5811" w:type="dxa"/>
          </w:tcPr>
          <w:p w14:paraId="05917144" w14:textId="2E9BBF43" w:rsidR="00FF43B9" w:rsidRPr="007F4261" w:rsidRDefault="00FF43B9" w:rsidP="00FF43B9">
            <w:pPr>
              <w:spacing w:after="240" w:line="240" w:lineRule="auto"/>
              <w:rPr>
                <w:rFonts w:cs="Calibri"/>
                <w:sz w:val="20"/>
                <w:szCs w:val="20"/>
                <w:lang w:val="en-GB" w:eastAsia="ko-KR"/>
              </w:rPr>
            </w:pPr>
            <w:r w:rsidRPr="007F4261">
              <w:rPr>
                <w:rFonts w:cs="Calibri"/>
                <w:sz w:val="20"/>
                <w:szCs w:val="20"/>
                <w:lang w:val="en-GB" w:eastAsia="ko-KR"/>
              </w:rPr>
              <w:t>Two recommendations were made:</w:t>
            </w:r>
          </w:p>
          <w:p w14:paraId="10FB4175" w14:textId="753F8543" w:rsidR="00FF43B9" w:rsidRPr="007F4261" w:rsidRDefault="00FF43B9" w:rsidP="00FF43B9">
            <w:pPr>
              <w:spacing w:after="240" w:line="240" w:lineRule="auto"/>
              <w:rPr>
                <w:rFonts w:cs="Calibri"/>
                <w:sz w:val="20"/>
                <w:szCs w:val="20"/>
                <w:lang w:val="en-GB" w:eastAsia="ko-KR"/>
              </w:rPr>
            </w:pPr>
            <w:r w:rsidRPr="007F4261">
              <w:rPr>
                <w:rFonts w:cs="Calibri"/>
                <w:sz w:val="20"/>
                <w:szCs w:val="20"/>
                <w:lang w:val="en-GB" w:eastAsia="ko-KR"/>
              </w:rPr>
              <w:t xml:space="preserve">1. The ANU should update its ‘Guideline 1.15: Freedom of Information processing checklist’ and ‘Guideline 1.18: Freedom of Information request processing </w:t>
            </w:r>
            <w:proofErr w:type="spellStart"/>
            <w:r w:rsidRPr="007F4261">
              <w:rPr>
                <w:rFonts w:cs="Calibri"/>
                <w:sz w:val="20"/>
                <w:szCs w:val="20"/>
                <w:lang w:val="en-GB" w:eastAsia="ko-KR"/>
              </w:rPr>
              <w:t>timeframes’</w:t>
            </w:r>
            <w:proofErr w:type="spellEnd"/>
            <w:r w:rsidRPr="007F4261">
              <w:rPr>
                <w:rFonts w:cs="Calibri"/>
                <w:sz w:val="20"/>
                <w:szCs w:val="20"/>
                <w:lang w:val="en-GB" w:eastAsia="ko-KR"/>
              </w:rPr>
              <w:t xml:space="preserve"> to require staff to conduct an early assessment of whether an extension of time may be required and if so, to seek agreement from the FOI applicant to extend the processing period under s 15AA.</w:t>
            </w:r>
          </w:p>
          <w:p w14:paraId="44C114E0" w14:textId="120AE9D7" w:rsidR="00FF43B9" w:rsidRPr="00D94668" w:rsidRDefault="00FF43B9" w:rsidP="00FF43B9">
            <w:pPr>
              <w:spacing w:after="0"/>
              <w:rPr>
                <w:sz w:val="20"/>
                <w:szCs w:val="20"/>
              </w:rPr>
            </w:pPr>
            <w:r w:rsidRPr="007F4261">
              <w:rPr>
                <w:rFonts w:cs="Calibri"/>
                <w:sz w:val="20"/>
                <w:szCs w:val="20"/>
                <w:lang w:val="en-GB" w:eastAsia="ko-KR"/>
              </w:rPr>
              <w:t xml:space="preserve">2. The ANU should update its ‘Guideline 1.15: Freedom of Information request processing checklist’ and ‘Guideline 1.18: Freedom of Information request processing timeframes’, to require staff to consider whether it is appropriate to seek an extension of time pursuant to s 15AB where an applicant has not agreed to extend the statutory processing period under s 15AA, or to seek an extension of time from the Information Commissioner under s </w:t>
            </w:r>
            <w:r w:rsidRPr="007F4261">
              <w:rPr>
                <w:rFonts w:cs="Calibri"/>
                <w:sz w:val="20"/>
                <w:szCs w:val="20"/>
                <w:lang w:val="en-GB" w:eastAsia="ko-KR"/>
              </w:rPr>
              <w:lastRenderedPageBreak/>
              <w:t>15AC where a decision about an FOI request has not been provided to the applicant within the statutory processing period.</w:t>
            </w:r>
          </w:p>
        </w:tc>
        <w:tc>
          <w:tcPr>
            <w:tcW w:w="2127" w:type="dxa"/>
          </w:tcPr>
          <w:p w14:paraId="49D5A1DA" w14:textId="77777777" w:rsidR="00FF43B9" w:rsidRDefault="00FF43B9" w:rsidP="00FF43B9">
            <w:pPr>
              <w:rPr>
                <w:sz w:val="20"/>
                <w:szCs w:val="20"/>
              </w:rPr>
            </w:pPr>
            <w:r>
              <w:rPr>
                <w:sz w:val="20"/>
                <w:szCs w:val="20"/>
              </w:rPr>
              <w:lastRenderedPageBreak/>
              <w:t>Accepted and implemented.</w:t>
            </w:r>
          </w:p>
          <w:p w14:paraId="3E4AA027" w14:textId="77777777" w:rsidR="00FF43B9" w:rsidRDefault="00FF43B9" w:rsidP="00FF43B9">
            <w:pPr>
              <w:rPr>
                <w:sz w:val="20"/>
                <w:szCs w:val="20"/>
              </w:rPr>
            </w:pPr>
          </w:p>
        </w:tc>
        <w:tc>
          <w:tcPr>
            <w:tcW w:w="1984" w:type="dxa"/>
          </w:tcPr>
          <w:p w14:paraId="4FEEDCA5" w14:textId="79368D11" w:rsidR="00FF43B9" w:rsidRDefault="00FF43B9" w:rsidP="00FF43B9">
            <w:pPr>
              <w:rPr>
                <w:sz w:val="20"/>
                <w:szCs w:val="20"/>
              </w:rPr>
            </w:pPr>
            <w:r>
              <w:rPr>
                <w:sz w:val="20"/>
                <w:szCs w:val="20"/>
              </w:rPr>
              <w:t>No further action to be taken.</w:t>
            </w:r>
          </w:p>
        </w:tc>
      </w:tr>
      <w:tr w:rsidR="00FF43B9" w:rsidRPr="00D94668" w14:paraId="352F9A29" w14:textId="77777777" w:rsidTr="0086062E">
        <w:trPr>
          <w:trHeight w:val="2418"/>
        </w:trPr>
        <w:tc>
          <w:tcPr>
            <w:tcW w:w="1888" w:type="dxa"/>
          </w:tcPr>
          <w:p w14:paraId="486EF647" w14:textId="3DC4BB66" w:rsidR="00FF43B9" w:rsidRPr="00D26517" w:rsidRDefault="00FF43B9" w:rsidP="00FF43B9">
            <w:pPr>
              <w:rPr>
                <w:sz w:val="20"/>
                <w:szCs w:val="20"/>
              </w:rPr>
            </w:pPr>
            <w:r>
              <w:rPr>
                <w:sz w:val="20"/>
                <w:szCs w:val="20"/>
              </w:rPr>
              <w:t>Airservices Australia</w:t>
            </w:r>
          </w:p>
        </w:tc>
        <w:tc>
          <w:tcPr>
            <w:tcW w:w="2223" w:type="dxa"/>
          </w:tcPr>
          <w:p w14:paraId="55BBF8FB" w14:textId="0AC515A2" w:rsidR="00FF43B9" w:rsidRDefault="00FF43B9" w:rsidP="00FF43B9">
            <w:pPr>
              <w:rPr>
                <w:sz w:val="20"/>
                <w:szCs w:val="20"/>
              </w:rPr>
            </w:pPr>
            <w:r w:rsidRPr="00D94668">
              <w:rPr>
                <w:sz w:val="20"/>
                <w:szCs w:val="20"/>
              </w:rPr>
              <w:t>Acknowledgment of FOI requests in accordance with statutory timeframes</w:t>
            </w:r>
          </w:p>
          <w:p w14:paraId="274B9DC9" w14:textId="7740C4A6" w:rsidR="00FF43B9" w:rsidRDefault="00FF43B9" w:rsidP="00FF43B9">
            <w:pPr>
              <w:rPr>
                <w:sz w:val="20"/>
                <w:szCs w:val="20"/>
              </w:rPr>
            </w:pPr>
            <w:r>
              <w:rPr>
                <w:sz w:val="20"/>
                <w:szCs w:val="20"/>
              </w:rPr>
              <w:t>Taking reasonable steps to conduct searches for documents within scope of the FOI request</w:t>
            </w:r>
          </w:p>
          <w:p w14:paraId="1AF0F160" w14:textId="77777777" w:rsidR="00FF43B9" w:rsidRDefault="00FF43B9" w:rsidP="00FF43B9">
            <w:pPr>
              <w:rPr>
                <w:sz w:val="20"/>
                <w:szCs w:val="20"/>
              </w:rPr>
            </w:pPr>
            <w:r>
              <w:rPr>
                <w:sz w:val="20"/>
                <w:szCs w:val="20"/>
              </w:rPr>
              <w:t>Withholding documents which fell within the scope of the FOI request</w:t>
            </w:r>
          </w:p>
          <w:p w14:paraId="63EAE200" w14:textId="6885FCD1" w:rsidR="00FF43B9" w:rsidRPr="00D94668" w:rsidRDefault="00FF43B9" w:rsidP="00FF43B9">
            <w:pPr>
              <w:rPr>
                <w:sz w:val="20"/>
                <w:szCs w:val="20"/>
              </w:rPr>
            </w:pPr>
            <w:r>
              <w:rPr>
                <w:sz w:val="20"/>
                <w:szCs w:val="20"/>
              </w:rPr>
              <w:t>Compliance with s 26 of the FOI Act</w:t>
            </w:r>
          </w:p>
        </w:tc>
        <w:tc>
          <w:tcPr>
            <w:tcW w:w="1352" w:type="dxa"/>
          </w:tcPr>
          <w:p w14:paraId="44ECFC88" w14:textId="337EBE43" w:rsidR="00FF43B9" w:rsidRPr="00D94668" w:rsidRDefault="00FF43B9" w:rsidP="00FF43B9">
            <w:pPr>
              <w:rPr>
                <w:sz w:val="20"/>
                <w:szCs w:val="20"/>
              </w:rPr>
            </w:pPr>
            <w:r>
              <w:rPr>
                <w:sz w:val="20"/>
                <w:szCs w:val="20"/>
              </w:rPr>
              <w:t>Personal information</w:t>
            </w:r>
          </w:p>
        </w:tc>
        <w:tc>
          <w:tcPr>
            <w:tcW w:w="1483" w:type="dxa"/>
          </w:tcPr>
          <w:p w14:paraId="52A0C1C6" w14:textId="13772483" w:rsidR="00FF43B9" w:rsidRPr="00D94668" w:rsidRDefault="00FF43B9" w:rsidP="00FF43B9">
            <w:pPr>
              <w:rPr>
                <w:sz w:val="20"/>
                <w:szCs w:val="20"/>
              </w:rPr>
            </w:pPr>
            <w:r>
              <w:rPr>
                <w:sz w:val="20"/>
                <w:szCs w:val="20"/>
              </w:rPr>
              <w:t>23 April 2020</w:t>
            </w:r>
          </w:p>
        </w:tc>
        <w:tc>
          <w:tcPr>
            <w:tcW w:w="4395" w:type="dxa"/>
          </w:tcPr>
          <w:p w14:paraId="25DABF2B" w14:textId="77777777" w:rsidR="00FF43B9" w:rsidRDefault="00FF43B9" w:rsidP="00FF43B9">
            <w:pPr>
              <w:autoSpaceDE w:val="0"/>
              <w:autoSpaceDN w:val="0"/>
              <w:adjustRightInd w:val="0"/>
              <w:rPr>
                <w:sz w:val="20"/>
                <w:szCs w:val="20"/>
              </w:rPr>
            </w:pPr>
            <w:r>
              <w:rPr>
                <w:sz w:val="20"/>
                <w:szCs w:val="20"/>
              </w:rPr>
              <w:t>At the time of the request, Airservices did not have a formalised process by which employees could access their personnel records.</w:t>
            </w:r>
          </w:p>
          <w:p w14:paraId="53E4A432" w14:textId="77777777" w:rsidR="00FF43B9" w:rsidRDefault="00FF43B9" w:rsidP="00FF43B9">
            <w:pPr>
              <w:autoSpaceDE w:val="0"/>
              <w:autoSpaceDN w:val="0"/>
              <w:adjustRightInd w:val="0"/>
              <w:rPr>
                <w:sz w:val="20"/>
                <w:szCs w:val="20"/>
              </w:rPr>
            </w:pPr>
            <w:r>
              <w:rPr>
                <w:sz w:val="20"/>
                <w:szCs w:val="20"/>
              </w:rPr>
              <w:t>Airservices did not comply with ss 15(5)(a) and 26 of the FOI Act.</w:t>
            </w:r>
          </w:p>
          <w:p w14:paraId="057BE843" w14:textId="77777777" w:rsidR="00FF43B9" w:rsidRDefault="00FF43B9" w:rsidP="00FF43B9">
            <w:pPr>
              <w:autoSpaceDE w:val="0"/>
              <w:autoSpaceDN w:val="0"/>
              <w:adjustRightInd w:val="0"/>
              <w:rPr>
                <w:sz w:val="20"/>
                <w:szCs w:val="20"/>
              </w:rPr>
            </w:pPr>
            <w:r>
              <w:rPr>
                <w:sz w:val="20"/>
                <w:szCs w:val="20"/>
              </w:rPr>
              <w:t>During the processing of the request Airservices did not take reasonable steps to identify documents within the scope of the request.</w:t>
            </w:r>
          </w:p>
          <w:p w14:paraId="7C36B6FF" w14:textId="7D89FA7F" w:rsidR="00FF43B9" w:rsidRPr="00D94668" w:rsidRDefault="00FF43B9" w:rsidP="00FF43B9">
            <w:pPr>
              <w:rPr>
                <w:sz w:val="20"/>
                <w:szCs w:val="20"/>
              </w:rPr>
            </w:pPr>
            <w:r>
              <w:rPr>
                <w:sz w:val="20"/>
                <w:szCs w:val="20"/>
              </w:rPr>
              <w:t>Airservices reduced the scope of the FOI request without agreement from the applicant.</w:t>
            </w:r>
          </w:p>
        </w:tc>
        <w:tc>
          <w:tcPr>
            <w:tcW w:w="5811" w:type="dxa"/>
          </w:tcPr>
          <w:p w14:paraId="1CC895B4" w14:textId="1B82CE55" w:rsidR="00FF43B9" w:rsidRPr="008038C9" w:rsidRDefault="00FF43B9" w:rsidP="00FF43B9">
            <w:pPr>
              <w:spacing w:after="240" w:line="240" w:lineRule="auto"/>
              <w:rPr>
                <w:rFonts w:cs="Calibri"/>
                <w:sz w:val="20"/>
                <w:szCs w:val="20"/>
                <w:lang w:val="en-GB" w:eastAsia="ko-KR"/>
              </w:rPr>
            </w:pPr>
            <w:r w:rsidRPr="008038C9">
              <w:rPr>
                <w:rFonts w:cs="Calibri"/>
                <w:sz w:val="20"/>
                <w:szCs w:val="20"/>
                <w:lang w:val="en-GB" w:eastAsia="ko-KR"/>
              </w:rPr>
              <w:t>Four recommendations were made</w:t>
            </w:r>
            <w:r>
              <w:rPr>
                <w:rFonts w:cs="Calibri"/>
                <w:sz w:val="20"/>
                <w:szCs w:val="20"/>
                <w:lang w:val="en-GB" w:eastAsia="ko-KR"/>
              </w:rPr>
              <w:t>:</w:t>
            </w:r>
          </w:p>
          <w:p w14:paraId="5623D6A2" w14:textId="77777777" w:rsidR="00FF43B9" w:rsidRPr="008038C9" w:rsidRDefault="00FF43B9" w:rsidP="00FF43B9">
            <w:pPr>
              <w:pStyle w:val="ListParagraph"/>
              <w:numPr>
                <w:ilvl w:val="0"/>
                <w:numId w:val="19"/>
              </w:numPr>
              <w:spacing w:after="240" w:line="240" w:lineRule="auto"/>
              <w:ind w:left="453"/>
              <w:rPr>
                <w:rFonts w:cs="Calibri"/>
                <w:sz w:val="20"/>
                <w:szCs w:val="20"/>
                <w:lang w:val="en-GB" w:eastAsia="ko-KR"/>
              </w:rPr>
            </w:pPr>
            <w:r w:rsidRPr="008038C9">
              <w:rPr>
                <w:color w:val="000000"/>
                <w:sz w:val="20"/>
                <w:szCs w:val="20"/>
                <w:lang w:val="en-GB" w:eastAsia="zh-CN"/>
              </w:rPr>
              <w:t>Airservices to issue a statement to all staff reminding them of their obligations under the FOI Act</w:t>
            </w:r>
          </w:p>
          <w:p w14:paraId="37EDE031" w14:textId="77777777" w:rsidR="00FF43B9" w:rsidRPr="008038C9" w:rsidRDefault="00FF43B9" w:rsidP="00FF43B9">
            <w:pPr>
              <w:pStyle w:val="ListParagraph"/>
              <w:numPr>
                <w:ilvl w:val="0"/>
                <w:numId w:val="19"/>
              </w:numPr>
              <w:spacing w:before="240" w:after="240" w:line="240" w:lineRule="auto"/>
              <w:ind w:left="453"/>
              <w:rPr>
                <w:sz w:val="20"/>
                <w:szCs w:val="20"/>
                <w:lang w:val="en-GB"/>
              </w:rPr>
            </w:pPr>
            <w:r w:rsidRPr="008038C9">
              <w:rPr>
                <w:color w:val="000000"/>
                <w:sz w:val="20"/>
                <w:szCs w:val="20"/>
                <w:lang w:val="en-GB" w:eastAsia="zh-CN"/>
              </w:rPr>
              <w:t>Airservices to establish a general FOI training program for inclusion in its induction process and finalise policies which outline the procedures to follow when processing an FOI request.</w:t>
            </w:r>
          </w:p>
          <w:p w14:paraId="3BBE7B63" w14:textId="77777777" w:rsidR="00FF43B9" w:rsidRPr="008038C9" w:rsidRDefault="00FF43B9" w:rsidP="00FF43B9">
            <w:pPr>
              <w:pStyle w:val="ListParagraph"/>
              <w:numPr>
                <w:ilvl w:val="0"/>
                <w:numId w:val="19"/>
              </w:numPr>
              <w:spacing w:before="240" w:after="240" w:line="240" w:lineRule="auto"/>
              <w:ind w:left="453"/>
              <w:rPr>
                <w:sz w:val="20"/>
                <w:szCs w:val="20"/>
                <w:lang w:val="en-GB" w:eastAsia="zh-CN"/>
              </w:rPr>
            </w:pPr>
            <w:r w:rsidRPr="008038C9">
              <w:rPr>
                <w:color w:val="000000"/>
                <w:sz w:val="20"/>
                <w:szCs w:val="20"/>
                <w:lang w:val="en-GB" w:eastAsia="zh-CN"/>
              </w:rPr>
              <w:t>Airservices to write to each FOI applicant within the past 12 months of which the FOI complaint was made and advise them of their review rights.</w:t>
            </w:r>
          </w:p>
          <w:p w14:paraId="159058AA" w14:textId="77777777" w:rsidR="00FF43B9" w:rsidRPr="008038C9" w:rsidRDefault="00FF43B9" w:rsidP="00FF43B9">
            <w:pPr>
              <w:pStyle w:val="ListParagraph"/>
              <w:numPr>
                <w:ilvl w:val="0"/>
                <w:numId w:val="19"/>
              </w:numPr>
              <w:spacing w:before="240" w:after="240" w:line="240" w:lineRule="auto"/>
              <w:ind w:left="453"/>
              <w:rPr>
                <w:sz w:val="20"/>
                <w:szCs w:val="20"/>
                <w:lang w:val="en-GB" w:eastAsia="zh-CN"/>
              </w:rPr>
            </w:pPr>
            <w:r w:rsidRPr="008038C9">
              <w:rPr>
                <w:color w:val="000000"/>
                <w:sz w:val="20"/>
                <w:szCs w:val="20"/>
                <w:lang w:val="en-GB" w:eastAsia="zh-CN"/>
              </w:rPr>
              <w:t>Airservices to conduct an audit within 6 months to track compliance of:</w:t>
            </w:r>
          </w:p>
          <w:p w14:paraId="5DA6211C" w14:textId="77777777" w:rsidR="00FF43B9" w:rsidRPr="008038C9" w:rsidRDefault="00FF43B9" w:rsidP="00FF43B9">
            <w:pPr>
              <w:pStyle w:val="ListParagraph"/>
              <w:numPr>
                <w:ilvl w:val="0"/>
                <w:numId w:val="87"/>
              </w:numPr>
              <w:spacing w:before="240" w:after="240" w:line="240" w:lineRule="auto"/>
              <w:rPr>
                <w:sz w:val="20"/>
                <w:szCs w:val="20"/>
                <w:lang w:val="en-GB" w:eastAsia="zh-CN"/>
              </w:rPr>
            </w:pPr>
            <w:r w:rsidRPr="008038C9">
              <w:rPr>
                <w:color w:val="000000"/>
                <w:sz w:val="20"/>
                <w:szCs w:val="20"/>
                <w:lang w:val="en-GB" w:eastAsia="zh-CN"/>
              </w:rPr>
              <w:t>Policies and procedures and</w:t>
            </w:r>
          </w:p>
          <w:p w14:paraId="5A174E52" w14:textId="55990018" w:rsidR="00FF43B9" w:rsidRPr="00D94668" w:rsidRDefault="00FF43B9" w:rsidP="00FF43B9">
            <w:pPr>
              <w:pStyle w:val="ListParagraph"/>
              <w:numPr>
                <w:ilvl w:val="0"/>
                <w:numId w:val="87"/>
              </w:numPr>
              <w:spacing w:before="240" w:after="240" w:line="240" w:lineRule="auto"/>
              <w:rPr>
                <w:sz w:val="20"/>
                <w:szCs w:val="20"/>
              </w:rPr>
            </w:pPr>
            <w:r w:rsidRPr="008038C9">
              <w:rPr>
                <w:color w:val="000000"/>
                <w:sz w:val="20"/>
                <w:szCs w:val="20"/>
                <w:lang w:val="en-GB" w:eastAsia="zh-CN"/>
              </w:rPr>
              <w:t>Section 26 Notices</w:t>
            </w:r>
          </w:p>
        </w:tc>
        <w:tc>
          <w:tcPr>
            <w:tcW w:w="2127" w:type="dxa"/>
          </w:tcPr>
          <w:p w14:paraId="4B247907" w14:textId="5C71CB53" w:rsidR="00FF43B9" w:rsidRDefault="00FF43B9" w:rsidP="00FF43B9">
            <w:pPr>
              <w:rPr>
                <w:sz w:val="20"/>
                <w:szCs w:val="20"/>
              </w:rPr>
            </w:pPr>
            <w:r>
              <w:rPr>
                <w:sz w:val="20"/>
                <w:szCs w:val="20"/>
              </w:rPr>
              <w:t>Accepted and implemented.</w:t>
            </w:r>
          </w:p>
        </w:tc>
        <w:tc>
          <w:tcPr>
            <w:tcW w:w="1984" w:type="dxa"/>
          </w:tcPr>
          <w:p w14:paraId="5143E832" w14:textId="6AFD87CA" w:rsidR="00FF43B9" w:rsidRDefault="00FF43B9" w:rsidP="00FF43B9">
            <w:pPr>
              <w:rPr>
                <w:sz w:val="20"/>
                <w:szCs w:val="20"/>
              </w:rPr>
            </w:pPr>
            <w:r>
              <w:rPr>
                <w:sz w:val="20"/>
                <w:szCs w:val="20"/>
              </w:rPr>
              <w:t>No further action to be taken.</w:t>
            </w:r>
          </w:p>
        </w:tc>
      </w:tr>
      <w:tr w:rsidR="00FF43B9" w:rsidRPr="00D94668" w14:paraId="2EED7BE8" w14:textId="77777777" w:rsidTr="0086062E">
        <w:trPr>
          <w:trHeight w:val="1909"/>
        </w:trPr>
        <w:tc>
          <w:tcPr>
            <w:tcW w:w="1888" w:type="dxa"/>
          </w:tcPr>
          <w:p w14:paraId="684DB9CE" w14:textId="5D93F859" w:rsidR="00FF43B9" w:rsidRPr="00D26517" w:rsidRDefault="00FF43B9" w:rsidP="00FF43B9">
            <w:pPr>
              <w:rPr>
                <w:sz w:val="20"/>
                <w:szCs w:val="20"/>
              </w:rPr>
            </w:pPr>
            <w:r>
              <w:rPr>
                <w:sz w:val="20"/>
                <w:szCs w:val="20"/>
              </w:rPr>
              <w:t>Services Australia</w:t>
            </w:r>
            <w:r>
              <w:rPr>
                <w:rStyle w:val="FootnoteReference"/>
                <w:sz w:val="20"/>
                <w:szCs w:val="20"/>
              </w:rPr>
              <w:footnoteReference w:id="9"/>
            </w:r>
          </w:p>
        </w:tc>
        <w:tc>
          <w:tcPr>
            <w:tcW w:w="2223" w:type="dxa"/>
          </w:tcPr>
          <w:p w14:paraId="08DDF146" w14:textId="3D46496A" w:rsidR="00FF43B9" w:rsidRPr="00D94668" w:rsidRDefault="00FF43B9" w:rsidP="00FF43B9">
            <w:pPr>
              <w:rPr>
                <w:sz w:val="20"/>
                <w:szCs w:val="20"/>
              </w:rPr>
            </w:pPr>
            <w:r>
              <w:rPr>
                <w:sz w:val="20"/>
                <w:szCs w:val="20"/>
              </w:rPr>
              <w:t>Consultation process under s 24AB of the FOI Act and internal review process</w:t>
            </w:r>
          </w:p>
        </w:tc>
        <w:tc>
          <w:tcPr>
            <w:tcW w:w="1352" w:type="dxa"/>
          </w:tcPr>
          <w:p w14:paraId="457DD150" w14:textId="0FA7691B" w:rsidR="00FF43B9" w:rsidRPr="00D94668" w:rsidRDefault="00FF43B9" w:rsidP="00FF43B9">
            <w:pPr>
              <w:rPr>
                <w:sz w:val="20"/>
                <w:szCs w:val="20"/>
              </w:rPr>
            </w:pPr>
            <w:r>
              <w:rPr>
                <w:sz w:val="20"/>
                <w:szCs w:val="20"/>
              </w:rPr>
              <w:t>Personal information</w:t>
            </w:r>
          </w:p>
        </w:tc>
        <w:tc>
          <w:tcPr>
            <w:tcW w:w="1483" w:type="dxa"/>
          </w:tcPr>
          <w:p w14:paraId="06D3BD76" w14:textId="61A56503" w:rsidR="00FF43B9" w:rsidRPr="00D94668" w:rsidRDefault="00FF43B9" w:rsidP="00FF43B9">
            <w:pPr>
              <w:rPr>
                <w:sz w:val="20"/>
                <w:szCs w:val="20"/>
              </w:rPr>
            </w:pPr>
            <w:r>
              <w:rPr>
                <w:sz w:val="20"/>
                <w:szCs w:val="20"/>
              </w:rPr>
              <w:t>18 February 2020</w:t>
            </w:r>
          </w:p>
        </w:tc>
        <w:tc>
          <w:tcPr>
            <w:tcW w:w="4395" w:type="dxa"/>
          </w:tcPr>
          <w:p w14:paraId="041811B7" w14:textId="7367DD31" w:rsidR="00FF43B9" w:rsidRPr="00D94668" w:rsidRDefault="00FF43B9" w:rsidP="00FF43B9">
            <w:pPr>
              <w:rPr>
                <w:sz w:val="20"/>
                <w:szCs w:val="20"/>
              </w:rPr>
            </w:pPr>
            <w:r>
              <w:rPr>
                <w:sz w:val="20"/>
                <w:szCs w:val="20"/>
              </w:rPr>
              <w:t>Consultation process was more appropriately considered in the related IC review process and subsequent decision by the Information Commissioner under s 55K of the FOI Act. Services Australia’s internal review process complied with s 54C of the FOI Act.</w:t>
            </w:r>
          </w:p>
        </w:tc>
        <w:tc>
          <w:tcPr>
            <w:tcW w:w="5811" w:type="dxa"/>
          </w:tcPr>
          <w:p w14:paraId="2A6C55A6" w14:textId="66113B3A" w:rsidR="00FF43B9" w:rsidRPr="00D94668" w:rsidRDefault="00FF43B9" w:rsidP="00FF43B9">
            <w:pPr>
              <w:spacing w:after="0"/>
              <w:ind w:left="177"/>
              <w:rPr>
                <w:sz w:val="20"/>
                <w:szCs w:val="20"/>
              </w:rPr>
            </w:pPr>
            <w:r>
              <w:rPr>
                <w:sz w:val="20"/>
                <w:szCs w:val="20"/>
              </w:rPr>
              <w:t>No recommendations were made.</w:t>
            </w:r>
          </w:p>
        </w:tc>
        <w:tc>
          <w:tcPr>
            <w:tcW w:w="2127" w:type="dxa"/>
          </w:tcPr>
          <w:p w14:paraId="191E95AD" w14:textId="0577CCF2" w:rsidR="00FF43B9" w:rsidRDefault="00FF43B9" w:rsidP="00FF43B9">
            <w:pPr>
              <w:rPr>
                <w:sz w:val="20"/>
                <w:szCs w:val="20"/>
              </w:rPr>
            </w:pPr>
            <w:r>
              <w:rPr>
                <w:sz w:val="20"/>
                <w:szCs w:val="20"/>
              </w:rPr>
              <w:t xml:space="preserve">Not applicable. </w:t>
            </w:r>
          </w:p>
        </w:tc>
        <w:tc>
          <w:tcPr>
            <w:tcW w:w="1984" w:type="dxa"/>
          </w:tcPr>
          <w:p w14:paraId="4560D58E" w14:textId="1BFA5A10" w:rsidR="00FF43B9" w:rsidRDefault="00FF43B9" w:rsidP="00FF43B9">
            <w:pPr>
              <w:rPr>
                <w:sz w:val="20"/>
                <w:szCs w:val="20"/>
              </w:rPr>
            </w:pPr>
            <w:r>
              <w:rPr>
                <w:sz w:val="20"/>
                <w:szCs w:val="20"/>
              </w:rPr>
              <w:t>Not applicable.</w:t>
            </w:r>
          </w:p>
        </w:tc>
      </w:tr>
      <w:tr w:rsidR="00FF43B9" w:rsidRPr="00D94668" w14:paraId="6F3C1B4B" w14:textId="77777777" w:rsidTr="0086062E">
        <w:trPr>
          <w:trHeight w:val="1178"/>
        </w:trPr>
        <w:tc>
          <w:tcPr>
            <w:tcW w:w="1888" w:type="dxa"/>
          </w:tcPr>
          <w:p w14:paraId="1FEFBB96" w14:textId="29D878D9" w:rsidR="00FF43B9" w:rsidRPr="00D26517" w:rsidRDefault="00FF43B9" w:rsidP="00FF43B9">
            <w:pPr>
              <w:rPr>
                <w:sz w:val="20"/>
                <w:szCs w:val="20"/>
              </w:rPr>
            </w:pPr>
            <w:r>
              <w:rPr>
                <w:sz w:val="20"/>
                <w:szCs w:val="20"/>
              </w:rPr>
              <w:t>Department of Home Affairs</w:t>
            </w:r>
          </w:p>
        </w:tc>
        <w:tc>
          <w:tcPr>
            <w:tcW w:w="2223" w:type="dxa"/>
          </w:tcPr>
          <w:p w14:paraId="4AFC33D2" w14:textId="79B9D0A3" w:rsidR="00FF43B9" w:rsidRPr="00D94668" w:rsidRDefault="00FF43B9" w:rsidP="00FF43B9">
            <w:pPr>
              <w:rPr>
                <w:sz w:val="20"/>
                <w:szCs w:val="20"/>
              </w:rPr>
            </w:pPr>
            <w:r>
              <w:rPr>
                <w:sz w:val="20"/>
                <w:szCs w:val="20"/>
              </w:rPr>
              <w:t>Compliance with statutory processing periods</w:t>
            </w:r>
            <w:r>
              <w:rPr>
                <w:rStyle w:val="FootnoteReference"/>
                <w:sz w:val="20"/>
                <w:szCs w:val="20"/>
              </w:rPr>
              <w:footnoteReference w:id="10"/>
            </w:r>
          </w:p>
        </w:tc>
        <w:tc>
          <w:tcPr>
            <w:tcW w:w="1352" w:type="dxa"/>
          </w:tcPr>
          <w:p w14:paraId="485CE052" w14:textId="645A529B" w:rsidR="00FF43B9" w:rsidRPr="00D94668" w:rsidRDefault="00FF43B9" w:rsidP="00FF43B9">
            <w:pPr>
              <w:rPr>
                <w:sz w:val="20"/>
                <w:szCs w:val="20"/>
              </w:rPr>
            </w:pPr>
            <w:r>
              <w:rPr>
                <w:sz w:val="20"/>
                <w:szCs w:val="20"/>
              </w:rPr>
              <w:t>Non-personal information</w:t>
            </w:r>
          </w:p>
        </w:tc>
        <w:tc>
          <w:tcPr>
            <w:tcW w:w="1483" w:type="dxa"/>
          </w:tcPr>
          <w:p w14:paraId="2E168C3F" w14:textId="38E2F64A" w:rsidR="00FF43B9" w:rsidRPr="00D94668" w:rsidRDefault="00FF43B9" w:rsidP="00FF43B9">
            <w:pPr>
              <w:rPr>
                <w:sz w:val="20"/>
                <w:szCs w:val="20"/>
              </w:rPr>
            </w:pPr>
            <w:r>
              <w:rPr>
                <w:sz w:val="20"/>
                <w:szCs w:val="20"/>
              </w:rPr>
              <w:t>19 December 2019</w:t>
            </w:r>
          </w:p>
        </w:tc>
        <w:tc>
          <w:tcPr>
            <w:tcW w:w="4395" w:type="dxa"/>
          </w:tcPr>
          <w:p w14:paraId="320F1A4A" w14:textId="75BF0A39" w:rsidR="00FF43B9" w:rsidRPr="00D94668" w:rsidRDefault="00FF43B9" w:rsidP="00FF43B9">
            <w:pPr>
              <w:rPr>
                <w:sz w:val="20"/>
                <w:szCs w:val="20"/>
              </w:rPr>
            </w:pPr>
            <w:r>
              <w:rPr>
                <w:sz w:val="20"/>
                <w:szCs w:val="20"/>
              </w:rPr>
              <w:t>The</w:t>
            </w:r>
            <w:r w:rsidRPr="00114E9C">
              <w:rPr>
                <w:sz w:val="20"/>
                <w:szCs w:val="20"/>
              </w:rPr>
              <w:t xml:space="preserve"> Department did not comply with </w:t>
            </w:r>
            <w:r>
              <w:rPr>
                <w:sz w:val="20"/>
                <w:szCs w:val="20"/>
              </w:rPr>
              <w:br/>
            </w:r>
            <w:r w:rsidRPr="00114E9C">
              <w:rPr>
                <w:sz w:val="20"/>
                <w:szCs w:val="20"/>
              </w:rPr>
              <w:t>s 15(5)(b) of the FOI Act</w:t>
            </w:r>
            <w:r>
              <w:rPr>
                <w:sz w:val="20"/>
                <w:szCs w:val="20"/>
              </w:rPr>
              <w:t>.</w:t>
            </w:r>
          </w:p>
        </w:tc>
        <w:tc>
          <w:tcPr>
            <w:tcW w:w="5811" w:type="dxa"/>
          </w:tcPr>
          <w:p w14:paraId="33CA1784" w14:textId="37E74D1C" w:rsidR="00FF43B9" w:rsidRDefault="00FF43B9" w:rsidP="00FF43B9">
            <w:pPr>
              <w:spacing w:after="0"/>
              <w:rPr>
                <w:sz w:val="20"/>
                <w:szCs w:val="20"/>
              </w:rPr>
            </w:pPr>
            <w:r>
              <w:rPr>
                <w:sz w:val="20"/>
                <w:szCs w:val="20"/>
              </w:rPr>
              <w:t xml:space="preserve">No recommendations were made. </w:t>
            </w:r>
          </w:p>
          <w:p w14:paraId="1489499C" w14:textId="77777777" w:rsidR="00FF43B9" w:rsidRDefault="00FF43B9" w:rsidP="00FF43B9">
            <w:pPr>
              <w:spacing w:after="0"/>
              <w:rPr>
                <w:sz w:val="20"/>
                <w:szCs w:val="20"/>
              </w:rPr>
            </w:pPr>
          </w:p>
          <w:p w14:paraId="087054B7" w14:textId="3F860C0E" w:rsidR="00FF43B9" w:rsidRPr="00D94668" w:rsidRDefault="00FF43B9" w:rsidP="00FF43B9">
            <w:pPr>
              <w:spacing w:after="0"/>
              <w:rPr>
                <w:sz w:val="20"/>
                <w:szCs w:val="20"/>
              </w:rPr>
            </w:pPr>
            <w:r>
              <w:rPr>
                <w:sz w:val="20"/>
                <w:szCs w:val="20"/>
              </w:rPr>
              <w:t xml:space="preserve">The Information Commissioner deferred making any recommendations until the outcome of the Commissioner Initiated Investigation into the Department of Home Affair’s compliance with statutory processing periods for non-personal FOI requests. </w:t>
            </w:r>
            <w:r>
              <w:rPr>
                <w:rStyle w:val="FootnoteReference"/>
                <w:sz w:val="20"/>
                <w:szCs w:val="20"/>
              </w:rPr>
              <w:footnoteReference w:id="11"/>
            </w:r>
          </w:p>
        </w:tc>
        <w:tc>
          <w:tcPr>
            <w:tcW w:w="2127" w:type="dxa"/>
          </w:tcPr>
          <w:p w14:paraId="586E9D10" w14:textId="5B053486" w:rsidR="00FF43B9" w:rsidRDefault="00FF43B9" w:rsidP="00FF43B9">
            <w:pPr>
              <w:rPr>
                <w:sz w:val="20"/>
                <w:szCs w:val="20"/>
              </w:rPr>
            </w:pPr>
            <w:r>
              <w:rPr>
                <w:sz w:val="20"/>
                <w:szCs w:val="20"/>
              </w:rPr>
              <w:t xml:space="preserve">Not applicable. </w:t>
            </w:r>
          </w:p>
        </w:tc>
        <w:tc>
          <w:tcPr>
            <w:tcW w:w="1984" w:type="dxa"/>
          </w:tcPr>
          <w:p w14:paraId="268C4B93" w14:textId="6A6F8812" w:rsidR="00FF43B9" w:rsidRDefault="00FF43B9" w:rsidP="00FF43B9">
            <w:pPr>
              <w:rPr>
                <w:sz w:val="20"/>
                <w:szCs w:val="20"/>
              </w:rPr>
            </w:pPr>
            <w:r>
              <w:rPr>
                <w:sz w:val="20"/>
                <w:szCs w:val="20"/>
              </w:rPr>
              <w:t>No further action to be taken pending the outcome of the CII.</w:t>
            </w:r>
          </w:p>
        </w:tc>
      </w:tr>
      <w:tr w:rsidR="00FF43B9" w:rsidRPr="00D94668" w14:paraId="589AF5A3" w14:textId="77777777" w:rsidTr="0086062E">
        <w:trPr>
          <w:trHeight w:val="2418"/>
        </w:trPr>
        <w:tc>
          <w:tcPr>
            <w:tcW w:w="1888" w:type="dxa"/>
          </w:tcPr>
          <w:p w14:paraId="4D32EBBA" w14:textId="7A9EAD39" w:rsidR="00FF43B9" w:rsidRPr="00D26517" w:rsidRDefault="00FF43B9" w:rsidP="00FF43B9">
            <w:pPr>
              <w:rPr>
                <w:sz w:val="20"/>
                <w:szCs w:val="20"/>
              </w:rPr>
            </w:pPr>
            <w:r>
              <w:rPr>
                <w:sz w:val="20"/>
                <w:szCs w:val="20"/>
              </w:rPr>
              <w:lastRenderedPageBreak/>
              <w:t>Services Australia</w:t>
            </w:r>
            <w:r>
              <w:rPr>
                <w:rStyle w:val="FootnoteReference"/>
                <w:sz w:val="20"/>
                <w:szCs w:val="20"/>
              </w:rPr>
              <w:footnoteReference w:id="12"/>
            </w:r>
            <w:r>
              <w:rPr>
                <w:rStyle w:val="FootnoteReference"/>
                <w:sz w:val="20"/>
                <w:szCs w:val="20"/>
              </w:rPr>
              <w:footnoteReference w:id="13"/>
            </w:r>
          </w:p>
        </w:tc>
        <w:tc>
          <w:tcPr>
            <w:tcW w:w="2223" w:type="dxa"/>
          </w:tcPr>
          <w:p w14:paraId="724FBCDB" w14:textId="77777777" w:rsidR="00FF43B9" w:rsidRPr="00440A36" w:rsidRDefault="00FF43B9" w:rsidP="00FF43B9">
            <w:pPr>
              <w:rPr>
                <w:sz w:val="20"/>
                <w:szCs w:val="20"/>
              </w:rPr>
            </w:pPr>
            <w:r w:rsidRPr="00440A36">
              <w:rPr>
                <w:sz w:val="20"/>
                <w:szCs w:val="20"/>
              </w:rPr>
              <w:t>Approach to the interpretation o</w:t>
            </w:r>
            <w:r>
              <w:rPr>
                <w:sz w:val="20"/>
                <w:szCs w:val="20"/>
              </w:rPr>
              <w:t>f</w:t>
            </w:r>
            <w:r w:rsidRPr="00440A36">
              <w:rPr>
                <w:sz w:val="20"/>
                <w:szCs w:val="20"/>
              </w:rPr>
              <w:t xml:space="preserve"> the scope of FOI requests</w:t>
            </w:r>
          </w:p>
          <w:p w14:paraId="780D1B6F" w14:textId="77777777" w:rsidR="00FF43B9" w:rsidRPr="00440A36" w:rsidRDefault="00FF43B9" w:rsidP="00FF43B9">
            <w:pPr>
              <w:rPr>
                <w:sz w:val="20"/>
                <w:szCs w:val="20"/>
              </w:rPr>
            </w:pPr>
            <w:r w:rsidRPr="00440A36">
              <w:rPr>
                <w:sz w:val="20"/>
                <w:szCs w:val="20"/>
              </w:rPr>
              <w:t>Approach to processing FOI requests relating to the OCI System</w:t>
            </w:r>
          </w:p>
          <w:p w14:paraId="29E27786" w14:textId="77777777" w:rsidR="00FF43B9" w:rsidRPr="00440A36" w:rsidRDefault="00FF43B9" w:rsidP="00FF43B9">
            <w:pPr>
              <w:rPr>
                <w:sz w:val="20"/>
                <w:szCs w:val="20"/>
              </w:rPr>
            </w:pPr>
            <w:r w:rsidRPr="00440A36">
              <w:rPr>
                <w:sz w:val="20"/>
                <w:szCs w:val="20"/>
              </w:rPr>
              <w:t>Compliance with s 24AB of the FOI Act</w:t>
            </w:r>
          </w:p>
          <w:p w14:paraId="70100F71" w14:textId="77777777" w:rsidR="00FF43B9" w:rsidRPr="00440A36" w:rsidRDefault="00FF43B9" w:rsidP="00FF43B9">
            <w:pPr>
              <w:rPr>
                <w:sz w:val="20"/>
                <w:szCs w:val="20"/>
              </w:rPr>
            </w:pPr>
            <w:r w:rsidRPr="00440A36">
              <w:rPr>
                <w:sz w:val="20"/>
                <w:szCs w:val="20"/>
              </w:rPr>
              <w:t>Combining FOI requests under s 24(2) of the FOI Act</w:t>
            </w:r>
          </w:p>
          <w:p w14:paraId="332D51FF" w14:textId="77777777" w:rsidR="00FF43B9" w:rsidRPr="00440A36" w:rsidRDefault="00FF43B9" w:rsidP="00FF43B9">
            <w:pPr>
              <w:rPr>
                <w:sz w:val="20"/>
                <w:szCs w:val="20"/>
              </w:rPr>
            </w:pPr>
            <w:r w:rsidRPr="00440A36">
              <w:rPr>
                <w:sz w:val="20"/>
                <w:szCs w:val="20"/>
              </w:rPr>
              <w:t>Imp</w:t>
            </w:r>
            <w:r>
              <w:rPr>
                <w:sz w:val="20"/>
                <w:szCs w:val="20"/>
              </w:rPr>
              <w:t>o</w:t>
            </w:r>
            <w:r w:rsidRPr="00440A36">
              <w:rPr>
                <w:sz w:val="20"/>
                <w:szCs w:val="20"/>
              </w:rPr>
              <w:t>sition of a charge</w:t>
            </w:r>
          </w:p>
          <w:p w14:paraId="6CAF657F" w14:textId="77777777" w:rsidR="00FF43B9" w:rsidRPr="00440A36" w:rsidRDefault="00FF43B9" w:rsidP="00FF43B9">
            <w:pPr>
              <w:rPr>
                <w:sz w:val="20"/>
                <w:szCs w:val="20"/>
              </w:rPr>
            </w:pPr>
            <w:r w:rsidRPr="00440A36">
              <w:rPr>
                <w:sz w:val="20"/>
                <w:szCs w:val="20"/>
              </w:rPr>
              <w:t>Payment of charges</w:t>
            </w:r>
          </w:p>
          <w:p w14:paraId="1FD5AC61" w14:textId="77777777" w:rsidR="00FF43B9" w:rsidRPr="00440A36" w:rsidRDefault="00FF43B9" w:rsidP="00FF43B9">
            <w:pPr>
              <w:rPr>
                <w:sz w:val="20"/>
                <w:szCs w:val="20"/>
              </w:rPr>
            </w:pPr>
            <w:r w:rsidRPr="00440A36">
              <w:rPr>
                <w:sz w:val="20"/>
                <w:szCs w:val="20"/>
              </w:rPr>
              <w:t>Disclosure Log content</w:t>
            </w:r>
          </w:p>
          <w:p w14:paraId="6342C6CC" w14:textId="77777777" w:rsidR="00FF43B9" w:rsidRPr="00440A36" w:rsidRDefault="00FF43B9" w:rsidP="00FF43B9">
            <w:pPr>
              <w:rPr>
                <w:sz w:val="20"/>
                <w:szCs w:val="20"/>
              </w:rPr>
            </w:pPr>
            <w:r w:rsidRPr="00440A36">
              <w:rPr>
                <w:sz w:val="20"/>
                <w:szCs w:val="20"/>
              </w:rPr>
              <w:t>Delays in the provision of documents</w:t>
            </w:r>
          </w:p>
          <w:p w14:paraId="358A18C9" w14:textId="77777777" w:rsidR="00FF43B9" w:rsidRPr="00D94668" w:rsidRDefault="00FF43B9" w:rsidP="00FF43B9">
            <w:pPr>
              <w:rPr>
                <w:sz w:val="20"/>
                <w:szCs w:val="20"/>
              </w:rPr>
            </w:pPr>
          </w:p>
        </w:tc>
        <w:tc>
          <w:tcPr>
            <w:tcW w:w="1352" w:type="dxa"/>
          </w:tcPr>
          <w:p w14:paraId="0DE5A52C" w14:textId="25A9B54C" w:rsidR="00FF43B9" w:rsidRPr="00D94668" w:rsidRDefault="00FF43B9" w:rsidP="00FF43B9">
            <w:pPr>
              <w:rPr>
                <w:sz w:val="20"/>
                <w:szCs w:val="20"/>
              </w:rPr>
            </w:pPr>
            <w:r>
              <w:rPr>
                <w:sz w:val="20"/>
                <w:szCs w:val="20"/>
              </w:rPr>
              <w:t>Non-personal and personal</w:t>
            </w:r>
          </w:p>
        </w:tc>
        <w:tc>
          <w:tcPr>
            <w:tcW w:w="1483" w:type="dxa"/>
          </w:tcPr>
          <w:p w14:paraId="3DFE4DC5" w14:textId="5FFDC5DA" w:rsidR="00FF43B9" w:rsidRPr="00D94668" w:rsidRDefault="00FF43B9" w:rsidP="00FF43B9">
            <w:pPr>
              <w:rPr>
                <w:sz w:val="20"/>
                <w:szCs w:val="20"/>
              </w:rPr>
            </w:pPr>
            <w:r>
              <w:rPr>
                <w:sz w:val="20"/>
                <w:szCs w:val="20"/>
              </w:rPr>
              <w:t>5 December 2019</w:t>
            </w:r>
          </w:p>
        </w:tc>
        <w:tc>
          <w:tcPr>
            <w:tcW w:w="4395" w:type="dxa"/>
          </w:tcPr>
          <w:p w14:paraId="1F9B5364" w14:textId="77777777" w:rsidR="00FF43B9" w:rsidRDefault="00FF43B9" w:rsidP="00FF43B9">
            <w:pPr>
              <w:autoSpaceDE w:val="0"/>
              <w:autoSpaceDN w:val="0"/>
              <w:adjustRightInd w:val="0"/>
              <w:rPr>
                <w:sz w:val="20"/>
                <w:szCs w:val="20"/>
              </w:rPr>
            </w:pPr>
            <w:r>
              <w:rPr>
                <w:sz w:val="20"/>
                <w:szCs w:val="20"/>
              </w:rPr>
              <w:t>Services Australia</w:t>
            </w:r>
            <w:r w:rsidRPr="00A7654A">
              <w:rPr>
                <w:sz w:val="20"/>
                <w:szCs w:val="20"/>
              </w:rPr>
              <w:t xml:space="preserve"> took a narrow approach to requests for information and did not attribute the plain English meanings to the terms used by applicants when that meaning was ascertainable in satisfaction of paragraph 15(2)(b) of the Act.</w:t>
            </w:r>
          </w:p>
          <w:p w14:paraId="24DADCA6" w14:textId="77777777" w:rsidR="00FF43B9" w:rsidRDefault="00FF43B9" w:rsidP="00FF43B9">
            <w:pPr>
              <w:autoSpaceDE w:val="0"/>
              <w:autoSpaceDN w:val="0"/>
              <w:adjustRightInd w:val="0"/>
              <w:rPr>
                <w:sz w:val="20"/>
                <w:szCs w:val="20"/>
              </w:rPr>
            </w:pPr>
            <w:r>
              <w:rPr>
                <w:sz w:val="20"/>
                <w:szCs w:val="20"/>
              </w:rPr>
              <w:t>Services Australia</w:t>
            </w:r>
            <w:r w:rsidRPr="00A7654A">
              <w:rPr>
                <w:sz w:val="20"/>
                <w:szCs w:val="20"/>
              </w:rPr>
              <w:t xml:space="preserve"> did not comply with the request consultation process under s 24AB.</w:t>
            </w:r>
          </w:p>
          <w:p w14:paraId="7B4FA46B" w14:textId="77777777" w:rsidR="00FF43B9" w:rsidRDefault="00FF43B9" w:rsidP="00FF43B9">
            <w:pPr>
              <w:autoSpaceDE w:val="0"/>
              <w:autoSpaceDN w:val="0"/>
              <w:adjustRightInd w:val="0"/>
              <w:rPr>
                <w:sz w:val="20"/>
                <w:szCs w:val="20"/>
              </w:rPr>
            </w:pPr>
            <w:r>
              <w:rPr>
                <w:sz w:val="20"/>
                <w:szCs w:val="20"/>
              </w:rPr>
              <w:t>Services Australia</w:t>
            </w:r>
            <w:r w:rsidRPr="00A7654A">
              <w:rPr>
                <w:sz w:val="20"/>
                <w:szCs w:val="20"/>
              </w:rPr>
              <w:t xml:space="preserve"> did not take into consideration relevant public interest factors when deciding if applying charges is appropriate</w:t>
            </w:r>
          </w:p>
          <w:p w14:paraId="39638E17" w14:textId="77777777" w:rsidR="00FF43B9" w:rsidRDefault="00FF43B9" w:rsidP="00FF43B9">
            <w:pPr>
              <w:autoSpaceDE w:val="0"/>
              <w:autoSpaceDN w:val="0"/>
              <w:adjustRightInd w:val="0"/>
              <w:rPr>
                <w:sz w:val="20"/>
                <w:szCs w:val="20"/>
              </w:rPr>
            </w:pPr>
            <w:r w:rsidRPr="00A7654A">
              <w:rPr>
                <w:sz w:val="20"/>
                <w:szCs w:val="20"/>
              </w:rPr>
              <w:t xml:space="preserve">At the time the decisions were made in the relevant FOI requests, </w:t>
            </w:r>
            <w:r>
              <w:rPr>
                <w:sz w:val="20"/>
                <w:szCs w:val="20"/>
              </w:rPr>
              <w:t>Services Australia</w:t>
            </w:r>
            <w:r w:rsidRPr="00A7654A">
              <w:rPr>
                <w:sz w:val="20"/>
                <w:szCs w:val="20"/>
              </w:rPr>
              <w:t>’s processes for collecting charges imposed under the FOI Act were inconsistent with the objects of the Act</w:t>
            </w:r>
          </w:p>
          <w:p w14:paraId="3B4ECD84" w14:textId="77777777" w:rsidR="00FF43B9" w:rsidRDefault="00FF43B9" w:rsidP="00FF43B9">
            <w:pPr>
              <w:autoSpaceDE w:val="0"/>
              <w:autoSpaceDN w:val="0"/>
              <w:adjustRightInd w:val="0"/>
              <w:rPr>
                <w:sz w:val="20"/>
                <w:szCs w:val="20"/>
              </w:rPr>
            </w:pPr>
            <w:r>
              <w:rPr>
                <w:sz w:val="20"/>
                <w:szCs w:val="20"/>
              </w:rPr>
              <w:t>Services Australia</w:t>
            </w:r>
            <w:r w:rsidRPr="00A7654A">
              <w:rPr>
                <w:sz w:val="20"/>
                <w:szCs w:val="20"/>
              </w:rPr>
              <w:t xml:space="preserve"> did not comply with its obligations under s 11C(6) of the FOI Act in relation to the maintenance of its disclosure log</w:t>
            </w:r>
            <w:r>
              <w:rPr>
                <w:sz w:val="20"/>
                <w:szCs w:val="20"/>
              </w:rPr>
              <w:t>.</w:t>
            </w:r>
          </w:p>
          <w:p w14:paraId="592F0D87" w14:textId="77777777" w:rsidR="00FF43B9" w:rsidRPr="00A7654A" w:rsidRDefault="00FF43B9" w:rsidP="00FF43B9">
            <w:pPr>
              <w:autoSpaceDE w:val="0"/>
              <w:autoSpaceDN w:val="0"/>
              <w:adjustRightInd w:val="0"/>
              <w:rPr>
                <w:sz w:val="20"/>
                <w:szCs w:val="20"/>
              </w:rPr>
            </w:pPr>
            <w:r>
              <w:rPr>
                <w:sz w:val="20"/>
                <w:szCs w:val="20"/>
              </w:rPr>
              <w:t>Services Australia</w:t>
            </w:r>
            <w:r w:rsidRPr="00A7654A">
              <w:rPr>
                <w:sz w:val="20"/>
                <w:szCs w:val="20"/>
              </w:rPr>
              <w:t xml:space="preserve"> did not have clear guidance for its FOI officers on: </w:t>
            </w:r>
          </w:p>
          <w:p w14:paraId="7D26E64E" w14:textId="77777777" w:rsidR="00FF43B9" w:rsidRPr="00A7654A" w:rsidRDefault="00FF43B9" w:rsidP="00FF43B9">
            <w:pPr>
              <w:numPr>
                <w:ilvl w:val="1"/>
                <w:numId w:val="17"/>
              </w:numPr>
              <w:autoSpaceDE w:val="0"/>
              <w:autoSpaceDN w:val="0"/>
              <w:adjustRightInd w:val="0"/>
              <w:ind w:left="493"/>
              <w:rPr>
                <w:sz w:val="20"/>
                <w:szCs w:val="20"/>
              </w:rPr>
            </w:pPr>
            <w:r w:rsidRPr="00A7654A">
              <w:rPr>
                <w:sz w:val="20"/>
                <w:szCs w:val="20"/>
              </w:rPr>
              <w:t xml:space="preserve">timeliness to respond to request for assistance during consultation process </w:t>
            </w:r>
          </w:p>
          <w:p w14:paraId="585E3E9D" w14:textId="77777777" w:rsidR="00FF43B9" w:rsidRPr="00A7654A" w:rsidRDefault="00FF43B9" w:rsidP="00FF43B9">
            <w:pPr>
              <w:numPr>
                <w:ilvl w:val="1"/>
                <w:numId w:val="17"/>
              </w:numPr>
              <w:autoSpaceDE w:val="0"/>
              <w:autoSpaceDN w:val="0"/>
              <w:adjustRightInd w:val="0"/>
              <w:ind w:left="493"/>
              <w:rPr>
                <w:sz w:val="20"/>
                <w:szCs w:val="20"/>
              </w:rPr>
            </w:pPr>
            <w:r w:rsidRPr="00A7654A">
              <w:rPr>
                <w:sz w:val="20"/>
                <w:szCs w:val="20"/>
              </w:rPr>
              <w:t xml:space="preserve">consideration of whether it is appropriate to transfer requests under s 16 once a scope has been revised </w:t>
            </w:r>
          </w:p>
          <w:p w14:paraId="3294E5AD" w14:textId="77777777" w:rsidR="00FF43B9" w:rsidRPr="00A7654A" w:rsidRDefault="00FF43B9" w:rsidP="00FF43B9">
            <w:pPr>
              <w:numPr>
                <w:ilvl w:val="1"/>
                <w:numId w:val="17"/>
              </w:numPr>
              <w:autoSpaceDE w:val="0"/>
              <w:autoSpaceDN w:val="0"/>
              <w:adjustRightInd w:val="0"/>
              <w:ind w:left="493"/>
              <w:rPr>
                <w:sz w:val="20"/>
                <w:szCs w:val="20"/>
              </w:rPr>
            </w:pPr>
            <w:r w:rsidRPr="00A7654A">
              <w:rPr>
                <w:sz w:val="20"/>
                <w:szCs w:val="20"/>
              </w:rPr>
              <w:t>appropriate response times for the provision of documents on the disclosure log</w:t>
            </w:r>
          </w:p>
          <w:p w14:paraId="153BF31E" w14:textId="77777777" w:rsidR="00FF43B9" w:rsidRDefault="00FF43B9" w:rsidP="00FF43B9">
            <w:pPr>
              <w:numPr>
                <w:ilvl w:val="1"/>
                <w:numId w:val="17"/>
              </w:numPr>
              <w:autoSpaceDE w:val="0"/>
              <w:autoSpaceDN w:val="0"/>
              <w:adjustRightInd w:val="0"/>
              <w:ind w:left="493"/>
              <w:rPr>
                <w:sz w:val="20"/>
                <w:szCs w:val="20"/>
              </w:rPr>
            </w:pPr>
            <w:r w:rsidRPr="00A7654A">
              <w:rPr>
                <w:sz w:val="20"/>
                <w:szCs w:val="20"/>
              </w:rPr>
              <w:t>combining of requests under s 24(2) of the FOI Act, and</w:t>
            </w:r>
          </w:p>
          <w:p w14:paraId="5FFA4EAA" w14:textId="18163525" w:rsidR="00FF43B9" w:rsidRPr="00D94668" w:rsidRDefault="00FF43B9" w:rsidP="00FF43B9">
            <w:pPr>
              <w:numPr>
                <w:ilvl w:val="1"/>
                <w:numId w:val="17"/>
              </w:numPr>
              <w:autoSpaceDE w:val="0"/>
              <w:autoSpaceDN w:val="0"/>
              <w:adjustRightInd w:val="0"/>
              <w:ind w:left="493"/>
              <w:rPr>
                <w:sz w:val="20"/>
                <w:szCs w:val="20"/>
              </w:rPr>
            </w:pPr>
            <w:r>
              <w:rPr>
                <w:sz w:val="20"/>
                <w:szCs w:val="20"/>
              </w:rPr>
              <w:t xml:space="preserve">making </w:t>
            </w:r>
            <w:r w:rsidRPr="00A7654A">
              <w:rPr>
                <w:sz w:val="20"/>
                <w:szCs w:val="20"/>
              </w:rPr>
              <w:t>a decision to impose a charge.</w:t>
            </w:r>
          </w:p>
        </w:tc>
        <w:tc>
          <w:tcPr>
            <w:tcW w:w="5811" w:type="dxa"/>
          </w:tcPr>
          <w:p w14:paraId="581D81CC" w14:textId="1599E3C0" w:rsidR="00FF43B9" w:rsidRDefault="00FF43B9" w:rsidP="00FF43B9">
            <w:pPr>
              <w:spacing w:after="0"/>
              <w:rPr>
                <w:sz w:val="20"/>
                <w:szCs w:val="20"/>
              </w:rPr>
            </w:pPr>
            <w:r>
              <w:rPr>
                <w:sz w:val="20"/>
                <w:szCs w:val="20"/>
              </w:rPr>
              <w:t>Seven recommendations were made:</w:t>
            </w:r>
          </w:p>
          <w:p w14:paraId="7F0950E3" w14:textId="77777777" w:rsidR="00FF43B9" w:rsidRPr="00EB6118" w:rsidRDefault="00FF43B9" w:rsidP="00FF43B9">
            <w:pPr>
              <w:numPr>
                <w:ilvl w:val="0"/>
                <w:numId w:val="18"/>
              </w:numPr>
              <w:spacing w:after="0"/>
              <w:rPr>
                <w:sz w:val="20"/>
                <w:szCs w:val="20"/>
              </w:rPr>
            </w:pPr>
            <w:r w:rsidRPr="00EB6118">
              <w:rPr>
                <w:sz w:val="20"/>
                <w:szCs w:val="20"/>
              </w:rPr>
              <w:t xml:space="preserve">A statement is provided to staff highlighting </w:t>
            </w:r>
            <w:r>
              <w:rPr>
                <w:sz w:val="20"/>
                <w:szCs w:val="20"/>
              </w:rPr>
              <w:t>Services Australia’s</w:t>
            </w:r>
            <w:r w:rsidRPr="00EB6118">
              <w:rPr>
                <w:sz w:val="20"/>
                <w:szCs w:val="20"/>
              </w:rPr>
              <w:t xml:space="preserve"> obligations under the FOI Act and the pro disclosure emphasis in the Act. This statement should encourage and support staff in meeting their obligations under the FOI Act, to facilitate and promote public access to information, promptly and at the lowest reasonable cost. </w:t>
            </w:r>
          </w:p>
          <w:p w14:paraId="2371163E" w14:textId="77777777" w:rsidR="00FF43B9" w:rsidRPr="00EB6118" w:rsidRDefault="00FF43B9" w:rsidP="00FF43B9">
            <w:pPr>
              <w:numPr>
                <w:ilvl w:val="0"/>
                <w:numId w:val="18"/>
              </w:numPr>
              <w:spacing w:after="0"/>
              <w:rPr>
                <w:sz w:val="20"/>
                <w:szCs w:val="20"/>
              </w:rPr>
            </w:pPr>
            <w:r>
              <w:rPr>
                <w:sz w:val="20"/>
                <w:szCs w:val="20"/>
              </w:rPr>
              <w:t>Services Australia</w:t>
            </w:r>
            <w:r w:rsidRPr="00EB6118">
              <w:rPr>
                <w:sz w:val="20"/>
                <w:szCs w:val="20"/>
              </w:rPr>
              <w:t xml:space="preserve"> take an approach to interpreting the scope of FOI requests in accordance with its obligations under s 15(3) of the FOI Act in a manner that as far as possible, seeks to facilitate and promote public access to information. </w:t>
            </w:r>
          </w:p>
          <w:p w14:paraId="446F1314" w14:textId="40E787C8" w:rsidR="00FF43B9" w:rsidRPr="00EB6118" w:rsidRDefault="00FF43B9" w:rsidP="00FF43B9">
            <w:pPr>
              <w:numPr>
                <w:ilvl w:val="0"/>
                <w:numId w:val="18"/>
              </w:numPr>
              <w:spacing w:after="0"/>
              <w:rPr>
                <w:sz w:val="20"/>
                <w:szCs w:val="20"/>
              </w:rPr>
            </w:pPr>
            <w:r>
              <w:rPr>
                <w:sz w:val="20"/>
                <w:szCs w:val="20"/>
              </w:rPr>
              <w:t>Services Australia</w:t>
            </w:r>
            <w:r w:rsidRPr="00EB6118">
              <w:rPr>
                <w:sz w:val="20"/>
                <w:szCs w:val="20"/>
              </w:rPr>
              <w:t xml:space="preserve"> develop a policy that provides that where information that is subject to multiple FOI requests, it is uploaded onto the disclosure log as soon as practicable</w:t>
            </w:r>
            <w:r>
              <w:rPr>
                <w:sz w:val="20"/>
                <w:szCs w:val="20"/>
              </w:rPr>
              <w:t>.</w:t>
            </w:r>
          </w:p>
          <w:p w14:paraId="743BB5D6" w14:textId="77777777" w:rsidR="00FF43B9" w:rsidRPr="00EB6118" w:rsidRDefault="00FF43B9" w:rsidP="00FF43B9">
            <w:pPr>
              <w:numPr>
                <w:ilvl w:val="0"/>
                <w:numId w:val="18"/>
              </w:numPr>
              <w:spacing w:after="0"/>
              <w:rPr>
                <w:sz w:val="20"/>
                <w:szCs w:val="20"/>
              </w:rPr>
            </w:pPr>
            <w:r>
              <w:rPr>
                <w:sz w:val="20"/>
                <w:szCs w:val="20"/>
              </w:rPr>
              <w:t>Services Australia</w:t>
            </w:r>
            <w:r w:rsidRPr="00EB6118">
              <w:rPr>
                <w:sz w:val="20"/>
                <w:szCs w:val="20"/>
              </w:rPr>
              <w:t xml:space="preserve"> update its FOI manual to include references to recent Information Commissioner decisions and FOI Guidelines on:</w:t>
            </w:r>
          </w:p>
          <w:p w14:paraId="31BBCF33" w14:textId="77777777" w:rsidR="00FF43B9" w:rsidRPr="00EB6118" w:rsidRDefault="00FF43B9" w:rsidP="00FF43B9">
            <w:pPr>
              <w:numPr>
                <w:ilvl w:val="1"/>
                <w:numId w:val="18"/>
              </w:numPr>
              <w:spacing w:after="0"/>
              <w:ind w:left="1161"/>
              <w:rPr>
                <w:sz w:val="20"/>
                <w:szCs w:val="20"/>
              </w:rPr>
            </w:pPr>
            <w:r w:rsidRPr="00EB6118">
              <w:rPr>
                <w:sz w:val="20"/>
                <w:szCs w:val="20"/>
              </w:rPr>
              <w:t>the imposition of charges</w:t>
            </w:r>
          </w:p>
          <w:p w14:paraId="0D08A621" w14:textId="77777777" w:rsidR="00FF43B9" w:rsidRPr="00EB6118" w:rsidRDefault="00FF43B9" w:rsidP="00FF43B9">
            <w:pPr>
              <w:numPr>
                <w:ilvl w:val="1"/>
                <w:numId w:val="18"/>
              </w:numPr>
              <w:spacing w:after="0"/>
              <w:ind w:left="1161"/>
              <w:rPr>
                <w:sz w:val="20"/>
                <w:szCs w:val="20"/>
              </w:rPr>
            </w:pPr>
            <w:r w:rsidRPr="00EB6118">
              <w:rPr>
                <w:sz w:val="20"/>
                <w:szCs w:val="20"/>
              </w:rPr>
              <w:t>the interpretation of scope and s 24AB process.</w:t>
            </w:r>
          </w:p>
          <w:p w14:paraId="1FDA0839" w14:textId="0D50DE66" w:rsidR="00FF43B9" w:rsidRPr="00EB6118" w:rsidRDefault="00FF43B9" w:rsidP="00FF43B9">
            <w:pPr>
              <w:numPr>
                <w:ilvl w:val="0"/>
                <w:numId w:val="18"/>
              </w:numPr>
              <w:spacing w:after="0"/>
              <w:rPr>
                <w:sz w:val="20"/>
                <w:szCs w:val="20"/>
              </w:rPr>
            </w:pPr>
            <w:r>
              <w:rPr>
                <w:sz w:val="20"/>
                <w:szCs w:val="20"/>
              </w:rPr>
              <w:t xml:space="preserve">Services Australia </w:t>
            </w:r>
            <w:r w:rsidRPr="00EB6118">
              <w:rPr>
                <w:sz w:val="20"/>
                <w:szCs w:val="20"/>
              </w:rPr>
              <w:t>update its FOI manual to include guidance about:</w:t>
            </w:r>
          </w:p>
          <w:p w14:paraId="0A7A2A15" w14:textId="77777777" w:rsidR="00FF43B9" w:rsidRPr="00EB6118" w:rsidRDefault="00FF43B9" w:rsidP="00FF43B9">
            <w:pPr>
              <w:numPr>
                <w:ilvl w:val="1"/>
                <w:numId w:val="18"/>
              </w:numPr>
              <w:spacing w:after="0"/>
              <w:ind w:left="1161"/>
              <w:rPr>
                <w:sz w:val="20"/>
                <w:szCs w:val="20"/>
              </w:rPr>
            </w:pPr>
            <w:r w:rsidRPr="00EB6118">
              <w:rPr>
                <w:sz w:val="20"/>
                <w:szCs w:val="20"/>
              </w:rPr>
              <w:t>consideration of s 16 transfers once the scope has been revised</w:t>
            </w:r>
          </w:p>
          <w:p w14:paraId="0BAD2406" w14:textId="77777777" w:rsidR="00FF43B9" w:rsidRPr="00EB6118" w:rsidRDefault="00FF43B9" w:rsidP="00FF43B9">
            <w:pPr>
              <w:numPr>
                <w:ilvl w:val="1"/>
                <w:numId w:val="18"/>
              </w:numPr>
              <w:spacing w:after="0"/>
              <w:ind w:left="1161"/>
              <w:rPr>
                <w:sz w:val="20"/>
                <w:szCs w:val="20"/>
              </w:rPr>
            </w:pPr>
            <w:r w:rsidRPr="00EB6118">
              <w:rPr>
                <w:sz w:val="20"/>
                <w:szCs w:val="20"/>
              </w:rPr>
              <w:t xml:space="preserve">the provision of documents as soon as practicable under s 11A </w:t>
            </w:r>
          </w:p>
          <w:p w14:paraId="0C4BBD18" w14:textId="77777777" w:rsidR="00FF43B9" w:rsidRPr="00EB6118" w:rsidRDefault="00FF43B9" w:rsidP="00FF43B9">
            <w:pPr>
              <w:numPr>
                <w:ilvl w:val="1"/>
                <w:numId w:val="18"/>
              </w:numPr>
              <w:spacing w:after="0"/>
              <w:ind w:left="1161"/>
              <w:rPr>
                <w:sz w:val="20"/>
                <w:szCs w:val="20"/>
              </w:rPr>
            </w:pPr>
            <w:r w:rsidRPr="00EB6118">
              <w:rPr>
                <w:sz w:val="20"/>
                <w:szCs w:val="20"/>
              </w:rPr>
              <w:t xml:space="preserve">responding to requests for documents held on the disclosure log </w:t>
            </w:r>
            <w:r>
              <w:rPr>
                <w:sz w:val="20"/>
                <w:szCs w:val="20"/>
              </w:rPr>
              <w:t xml:space="preserve">which are otherwise not readily available, </w:t>
            </w:r>
            <w:r w:rsidRPr="00EB6118">
              <w:rPr>
                <w:sz w:val="20"/>
                <w:szCs w:val="20"/>
              </w:rPr>
              <w:t>within five working days.</w:t>
            </w:r>
          </w:p>
          <w:p w14:paraId="50A1FD10" w14:textId="77777777" w:rsidR="00FF43B9" w:rsidRDefault="00FF43B9" w:rsidP="00FF43B9">
            <w:pPr>
              <w:numPr>
                <w:ilvl w:val="1"/>
                <w:numId w:val="18"/>
              </w:numPr>
              <w:spacing w:after="0"/>
              <w:ind w:left="1161"/>
              <w:rPr>
                <w:sz w:val="20"/>
                <w:szCs w:val="20"/>
              </w:rPr>
            </w:pPr>
            <w:r w:rsidRPr="00EB6118">
              <w:rPr>
                <w:sz w:val="20"/>
                <w:szCs w:val="20"/>
              </w:rPr>
              <w:t>where the</w:t>
            </w:r>
            <w:r>
              <w:rPr>
                <w:sz w:val="20"/>
                <w:szCs w:val="20"/>
              </w:rPr>
              <w:t xml:space="preserve">re are </w:t>
            </w:r>
            <w:r w:rsidRPr="00EB6118">
              <w:rPr>
                <w:sz w:val="20"/>
                <w:szCs w:val="20"/>
              </w:rPr>
              <w:t xml:space="preserve">multiple requests for the same subject matter, implement a process through which they can identify and utilise work previously undertaken. </w:t>
            </w:r>
          </w:p>
          <w:p w14:paraId="1C07E311" w14:textId="77777777" w:rsidR="00FF43B9" w:rsidRPr="00EB6118" w:rsidRDefault="00FF43B9" w:rsidP="00FF43B9">
            <w:pPr>
              <w:numPr>
                <w:ilvl w:val="1"/>
                <w:numId w:val="18"/>
              </w:numPr>
              <w:spacing w:after="0"/>
              <w:ind w:left="1161"/>
              <w:rPr>
                <w:sz w:val="20"/>
                <w:szCs w:val="20"/>
              </w:rPr>
            </w:pPr>
            <w:r w:rsidRPr="00EB6118">
              <w:rPr>
                <w:sz w:val="20"/>
                <w:szCs w:val="20"/>
              </w:rPr>
              <w:t xml:space="preserve">when it is appropriate to combine requests under s 24(2). </w:t>
            </w:r>
          </w:p>
          <w:p w14:paraId="759EB7D9" w14:textId="77777777" w:rsidR="00FF43B9" w:rsidRPr="00EB6118" w:rsidRDefault="00FF43B9" w:rsidP="00FF43B9">
            <w:pPr>
              <w:numPr>
                <w:ilvl w:val="1"/>
                <w:numId w:val="18"/>
              </w:numPr>
              <w:spacing w:after="0"/>
              <w:ind w:left="1161"/>
              <w:rPr>
                <w:sz w:val="20"/>
                <w:szCs w:val="20"/>
              </w:rPr>
            </w:pPr>
            <w:r w:rsidRPr="00EB6118">
              <w:rPr>
                <w:sz w:val="20"/>
                <w:szCs w:val="20"/>
              </w:rPr>
              <w:t>factors to consider whether to impose a charge, including factors set out in the Guidelines issued under s 93A of the Act.</w:t>
            </w:r>
          </w:p>
          <w:p w14:paraId="64FFF445" w14:textId="77777777" w:rsidR="00FF43B9" w:rsidRPr="00EB6118" w:rsidRDefault="00FF43B9" w:rsidP="00FF43B9">
            <w:pPr>
              <w:numPr>
                <w:ilvl w:val="0"/>
                <w:numId w:val="18"/>
              </w:numPr>
              <w:spacing w:after="0"/>
              <w:rPr>
                <w:sz w:val="20"/>
                <w:szCs w:val="20"/>
              </w:rPr>
            </w:pPr>
            <w:r>
              <w:rPr>
                <w:sz w:val="20"/>
                <w:szCs w:val="20"/>
              </w:rPr>
              <w:lastRenderedPageBreak/>
              <w:t>Services Australia</w:t>
            </w:r>
            <w:r w:rsidRPr="00EB6118">
              <w:rPr>
                <w:sz w:val="20"/>
                <w:szCs w:val="20"/>
              </w:rPr>
              <w:t xml:space="preserve"> within six months</w:t>
            </w:r>
            <w:r>
              <w:rPr>
                <w:rStyle w:val="FootnoteReference"/>
                <w:sz w:val="20"/>
                <w:szCs w:val="20"/>
              </w:rPr>
              <w:footnoteReference w:id="14"/>
            </w:r>
            <w:r w:rsidRPr="00EB6118">
              <w:rPr>
                <w:sz w:val="20"/>
                <w:szCs w:val="20"/>
              </w:rPr>
              <w:t xml:space="preserve"> of these conclusions conduct audits on the following and report back to the OAIC:</w:t>
            </w:r>
          </w:p>
          <w:p w14:paraId="4A4ADF65" w14:textId="77777777" w:rsidR="00FF43B9" w:rsidRPr="00EB6118" w:rsidRDefault="00FF43B9" w:rsidP="00FF43B9">
            <w:pPr>
              <w:numPr>
                <w:ilvl w:val="1"/>
                <w:numId w:val="18"/>
              </w:numPr>
              <w:spacing w:after="0"/>
              <w:ind w:left="1161"/>
              <w:rPr>
                <w:sz w:val="20"/>
                <w:szCs w:val="20"/>
              </w:rPr>
            </w:pPr>
            <w:r w:rsidRPr="00EB6118">
              <w:rPr>
                <w:sz w:val="20"/>
                <w:szCs w:val="20"/>
              </w:rPr>
              <w:t>The adherence to the FOI processing manual by FOI officers in relation to matters the subject of recommendations four and five above</w:t>
            </w:r>
            <w:r>
              <w:rPr>
                <w:sz w:val="20"/>
                <w:szCs w:val="20"/>
              </w:rPr>
              <w:t>.</w:t>
            </w:r>
          </w:p>
          <w:p w14:paraId="20A8B045" w14:textId="3E561930" w:rsidR="00FF43B9" w:rsidRPr="00407FDF" w:rsidRDefault="00FF43B9" w:rsidP="00FF43B9">
            <w:pPr>
              <w:numPr>
                <w:ilvl w:val="0"/>
                <w:numId w:val="18"/>
              </w:numPr>
              <w:spacing w:after="0"/>
              <w:rPr>
                <w:sz w:val="20"/>
                <w:szCs w:val="20"/>
              </w:rPr>
            </w:pPr>
            <w:r>
              <w:rPr>
                <w:sz w:val="20"/>
                <w:szCs w:val="20"/>
              </w:rPr>
              <w:t>Services Australia</w:t>
            </w:r>
            <w:r w:rsidRPr="00EB6118">
              <w:rPr>
                <w:sz w:val="20"/>
                <w:szCs w:val="20"/>
              </w:rPr>
              <w:t xml:space="preserve"> ensure processes are in place to assist applicants through the s 24AB consultation process</w:t>
            </w:r>
            <w:r>
              <w:rPr>
                <w:sz w:val="20"/>
                <w:szCs w:val="20"/>
              </w:rPr>
              <w:t>.</w:t>
            </w:r>
          </w:p>
        </w:tc>
        <w:tc>
          <w:tcPr>
            <w:tcW w:w="2127" w:type="dxa"/>
          </w:tcPr>
          <w:p w14:paraId="027EF8BF" w14:textId="3DBCFC61" w:rsidR="00FF43B9" w:rsidRDefault="00FF43B9" w:rsidP="00FF43B9">
            <w:pPr>
              <w:rPr>
                <w:sz w:val="20"/>
                <w:szCs w:val="20"/>
              </w:rPr>
            </w:pPr>
            <w:r>
              <w:rPr>
                <w:rFonts w:eastAsia="Source Sans Pro"/>
                <w:sz w:val="20"/>
                <w:szCs w:val="20"/>
              </w:rPr>
              <w:lastRenderedPageBreak/>
              <w:t>Accepted and implemented.</w:t>
            </w:r>
          </w:p>
        </w:tc>
        <w:tc>
          <w:tcPr>
            <w:tcW w:w="1984" w:type="dxa"/>
          </w:tcPr>
          <w:p w14:paraId="5C197B45" w14:textId="2FFB3C6F" w:rsidR="00FF43B9" w:rsidRDefault="00FF43B9" w:rsidP="00FF43B9">
            <w:pPr>
              <w:rPr>
                <w:sz w:val="20"/>
                <w:szCs w:val="20"/>
              </w:rPr>
            </w:pPr>
            <w:r>
              <w:rPr>
                <w:sz w:val="20"/>
                <w:szCs w:val="20"/>
              </w:rPr>
              <w:t>No further action to be taken.</w:t>
            </w:r>
          </w:p>
        </w:tc>
      </w:tr>
      <w:tr w:rsidR="00FF43B9" w:rsidRPr="00D94668" w14:paraId="73C3A331" w14:textId="77777777" w:rsidTr="0086062E">
        <w:trPr>
          <w:trHeight w:val="2418"/>
        </w:trPr>
        <w:tc>
          <w:tcPr>
            <w:tcW w:w="1888" w:type="dxa"/>
          </w:tcPr>
          <w:p w14:paraId="6955EC71" w14:textId="46B747C7" w:rsidR="00FF43B9" w:rsidRPr="00D26517" w:rsidRDefault="00FF43B9" w:rsidP="00FF43B9">
            <w:pPr>
              <w:rPr>
                <w:sz w:val="20"/>
                <w:szCs w:val="20"/>
              </w:rPr>
            </w:pPr>
            <w:r w:rsidRPr="00D94668">
              <w:rPr>
                <w:sz w:val="20"/>
                <w:szCs w:val="20"/>
              </w:rPr>
              <w:t>Services Australia</w:t>
            </w:r>
            <w:r w:rsidRPr="00D94668">
              <w:rPr>
                <w:rStyle w:val="FootnoteReference"/>
                <w:sz w:val="20"/>
                <w:szCs w:val="20"/>
              </w:rPr>
              <w:footnoteReference w:id="15"/>
            </w:r>
          </w:p>
        </w:tc>
        <w:tc>
          <w:tcPr>
            <w:tcW w:w="2223" w:type="dxa"/>
          </w:tcPr>
          <w:p w14:paraId="205CA017" w14:textId="06DA2034" w:rsidR="00FF43B9" w:rsidRPr="00D94668" w:rsidRDefault="00FF43B9" w:rsidP="00FF43B9">
            <w:pPr>
              <w:rPr>
                <w:sz w:val="20"/>
                <w:szCs w:val="20"/>
              </w:rPr>
            </w:pPr>
            <w:r w:rsidRPr="00D94668">
              <w:rPr>
                <w:sz w:val="20"/>
                <w:szCs w:val="20"/>
              </w:rPr>
              <w:t>Acknowledgment of FOI requests in accordance with statutory timeframes</w:t>
            </w:r>
          </w:p>
        </w:tc>
        <w:tc>
          <w:tcPr>
            <w:tcW w:w="1352" w:type="dxa"/>
          </w:tcPr>
          <w:p w14:paraId="1C76618F" w14:textId="4364FF96" w:rsidR="00FF43B9" w:rsidRPr="00D94668" w:rsidRDefault="00FF43B9" w:rsidP="00FF43B9">
            <w:pPr>
              <w:rPr>
                <w:sz w:val="20"/>
                <w:szCs w:val="20"/>
              </w:rPr>
            </w:pPr>
            <w:r w:rsidRPr="00D94668">
              <w:rPr>
                <w:sz w:val="20"/>
                <w:szCs w:val="20"/>
              </w:rPr>
              <w:t xml:space="preserve">Personal and non-personal information </w:t>
            </w:r>
          </w:p>
        </w:tc>
        <w:tc>
          <w:tcPr>
            <w:tcW w:w="1483" w:type="dxa"/>
          </w:tcPr>
          <w:p w14:paraId="04895E34" w14:textId="19B74F0D" w:rsidR="00FF43B9" w:rsidRPr="00D94668" w:rsidRDefault="00FF43B9" w:rsidP="00FF43B9">
            <w:pPr>
              <w:rPr>
                <w:sz w:val="20"/>
                <w:szCs w:val="20"/>
              </w:rPr>
            </w:pPr>
            <w:r w:rsidRPr="00D94668">
              <w:rPr>
                <w:sz w:val="20"/>
                <w:szCs w:val="20"/>
              </w:rPr>
              <w:t>22 November 2019</w:t>
            </w:r>
          </w:p>
        </w:tc>
        <w:tc>
          <w:tcPr>
            <w:tcW w:w="4395" w:type="dxa"/>
          </w:tcPr>
          <w:p w14:paraId="24EFADA9" w14:textId="16B67E27" w:rsidR="00FF43B9" w:rsidRPr="00D94668" w:rsidRDefault="00FF43B9" w:rsidP="00FF43B9">
            <w:pPr>
              <w:rPr>
                <w:sz w:val="20"/>
                <w:szCs w:val="20"/>
              </w:rPr>
            </w:pPr>
            <w:r w:rsidRPr="00D94668">
              <w:rPr>
                <w:sz w:val="20"/>
                <w:szCs w:val="20"/>
              </w:rPr>
              <w:t xml:space="preserve">Delay in acknowledging the FOI requests was due to </w:t>
            </w:r>
            <w:r w:rsidRPr="00D94668">
              <w:rPr>
                <w:rFonts w:cs="SourceSansPro-Regular"/>
                <w:sz w:val="20"/>
                <w:szCs w:val="20"/>
              </w:rPr>
              <w:t>the complainant sending the FOI request as part of ‘shared’ correspondence addressed to the aged care pension claims nominated PO Box rather than addressed to the FOI or central PO Box, and human error in categorising the documents as FOI requests at the mail sorting stage.</w:t>
            </w:r>
          </w:p>
        </w:tc>
        <w:tc>
          <w:tcPr>
            <w:tcW w:w="5811" w:type="dxa"/>
          </w:tcPr>
          <w:p w14:paraId="1CECC84E" w14:textId="77777777" w:rsidR="00FF43B9" w:rsidRPr="00D94668" w:rsidRDefault="00FF43B9" w:rsidP="00FF43B9">
            <w:pPr>
              <w:spacing w:after="0"/>
              <w:ind w:left="177"/>
              <w:rPr>
                <w:sz w:val="20"/>
                <w:szCs w:val="20"/>
              </w:rPr>
            </w:pPr>
            <w:r w:rsidRPr="00D94668">
              <w:rPr>
                <w:sz w:val="20"/>
                <w:szCs w:val="20"/>
              </w:rPr>
              <w:t>Two recommendations were made</w:t>
            </w:r>
            <w:r>
              <w:rPr>
                <w:sz w:val="20"/>
                <w:szCs w:val="20"/>
              </w:rPr>
              <w:t>:</w:t>
            </w:r>
          </w:p>
          <w:p w14:paraId="42CD254A" w14:textId="65E72F46" w:rsidR="00FF43B9" w:rsidRDefault="00FF43B9" w:rsidP="00FF43B9">
            <w:pPr>
              <w:pStyle w:val="ListParagraph"/>
              <w:numPr>
                <w:ilvl w:val="0"/>
                <w:numId w:val="20"/>
              </w:numPr>
              <w:spacing w:after="0" w:line="240" w:lineRule="auto"/>
              <w:rPr>
                <w:sz w:val="20"/>
                <w:szCs w:val="20"/>
              </w:rPr>
            </w:pPr>
            <w:r>
              <w:rPr>
                <w:sz w:val="20"/>
                <w:szCs w:val="20"/>
              </w:rPr>
              <w:t>T</w:t>
            </w:r>
            <w:r w:rsidRPr="00D94668">
              <w:rPr>
                <w:sz w:val="20"/>
                <w:szCs w:val="20"/>
              </w:rPr>
              <w:t>o provide general FOI training to the external providers tasked with opening and categorising correspondence to assist in the identification of FOI requests sent to general Departmental post boxes.</w:t>
            </w:r>
          </w:p>
          <w:p w14:paraId="19E5EBC9" w14:textId="2F6434AE" w:rsidR="00FF43B9" w:rsidRPr="00D94668" w:rsidRDefault="00FF43B9" w:rsidP="00FF43B9">
            <w:pPr>
              <w:pStyle w:val="ListParagraph"/>
              <w:numPr>
                <w:ilvl w:val="0"/>
                <w:numId w:val="20"/>
              </w:numPr>
              <w:spacing w:after="0" w:line="240" w:lineRule="auto"/>
              <w:rPr>
                <w:sz w:val="20"/>
                <w:szCs w:val="20"/>
              </w:rPr>
            </w:pPr>
            <w:r>
              <w:rPr>
                <w:sz w:val="20"/>
                <w:szCs w:val="20"/>
              </w:rPr>
              <w:t xml:space="preserve">To </w:t>
            </w:r>
            <w:r w:rsidRPr="00D94668">
              <w:rPr>
                <w:sz w:val="20"/>
                <w:szCs w:val="20"/>
              </w:rPr>
              <w:t>review and update its guidance material in line with the findings of the investigation.</w:t>
            </w:r>
          </w:p>
        </w:tc>
        <w:tc>
          <w:tcPr>
            <w:tcW w:w="2127" w:type="dxa"/>
          </w:tcPr>
          <w:p w14:paraId="24934B1F" w14:textId="4A9F9844" w:rsidR="00FF43B9" w:rsidRDefault="00FF43B9" w:rsidP="00FF43B9">
            <w:pPr>
              <w:rPr>
                <w:sz w:val="20"/>
                <w:szCs w:val="20"/>
              </w:rPr>
            </w:pPr>
            <w:r>
              <w:rPr>
                <w:sz w:val="20"/>
                <w:szCs w:val="20"/>
              </w:rPr>
              <w:t>Accepted and implemented.</w:t>
            </w:r>
          </w:p>
        </w:tc>
        <w:tc>
          <w:tcPr>
            <w:tcW w:w="1984" w:type="dxa"/>
          </w:tcPr>
          <w:p w14:paraId="41B5BA94" w14:textId="487D0E83" w:rsidR="00FF43B9" w:rsidRDefault="00FF43B9" w:rsidP="00FF43B9">
            <w:pPr>
              <w:rPr>
                <w:sz w:val="20"/>
                <w:szCs w:val="20"/>
              </w:rPr>
            </w:pPr>
            <w:r>
              <w:rPr>
                <w:sz w:val="20"/>
                <w:szCs w:val="20"/>
              </w:rPr>
              <w:t>No further action to be taken.</w:t>
            </w:r>
          </w:p>
        </w:tc>
      </w:tr>
      <w:tr w:rsidR="00FF43B9" w:rsidRPr="00D94668" w14:paraId="3AD9DBFC" w14:textId="77777777" w:rsidTr="0086062E">
        <w:trPr>
          <w:trHeight w:val="2418"/>
        </w:trPr>
        <w:tc>
          <w:tcPr>
            <w:tcW w:w="1888" w:type="dxa"/>
          </w:tcPr>
          <w:p w14:paraId="3363CB6E" w14:textId="3ECD87FF" w:rsidR="00FF43B9" w:rsidRPr="00D26517" w:rsidRDefault="00FF43B9" w:rsidP="00FF43B9">
            <w:pPr>
              <w:rPr>
                <w:sz w:val="20"/>
                <w:szCs w:val="20"/>
              </w:rPr>
            </w:pPr>
            <w:r w:rsidRPr="00D94668">
              <w:rPr>
                <w:sz w:val="20"/>
                <w:szCs w:val="20"/>
              </w:rPr>
              <w:t>Australian Federal Police</w:t>
            </w:r>
          </w:p>
        </w:tc>
        <w:tc>
          <w:tcPr>
            <w:tcW w:w="2223" w:type="dxa"/>
          </w:tcPr>
          <w:p w14:paraId="143FEFD0" w14:textId="7912167F" w:rsidR="00FF43B9" w:rsidRPr="00D94668" w:rsidRDefault="00FF43B9" w:rsidP="00FF43B9">
            <w:pPr>
              <w:rPr>
                <w:sz w:val="20"/>
                <w:szCs w:val="20"/>
              </w:rPr>
            </w:pPr>
            <w:r w:rsidRPr="00D94668">
              <w:rPr>
                <w:sz w:val="20"/>
                <w:szCs w:val="20"/>
              </w:rPr>
              <w:t>Compliance with statutory processing timeframes</w:t>
            </w:r>
          </w:p>
          <w:p w14:paraId="167FFBB4" w14:textId="77777777" w:rsidR="00FF43B9" w:rsidRPr="00D94668" w:rsidRDefault="00FF43B9" w:rsidP="00FF43B9">
            <w:pPr>
              <w:rPr>
                <w:sz w:val="20"/>
                <w:szCs w:val="20"/>
              </w:rPr>
            </w:pPr>
          </w:p>
        </w:tc>
        <w:tc>
          <w:tcPr>
            <w:tcW w:w="1352" w:type="dxa"/>
          </w:tcPr>
          <w:p w14:paraId="46E7D978" w14:textId="45F5FB66" w:rsidR="00FF43B9" w:rsidRPr="00D94668" w:rsidRDefault="00FF43B9" w:rsidP="00FF43B9">
            <w:pPr>
              <w:rPr>
                <w:sz w:val="20"/>
                <w:szCs w:val="20"/>
              </w:rPr>
            </w:pPr>
            <w:r w:rsidRPr="00D94668">
              <w:rPr>
                <w:sz w:val="20"/>
                <w:szCs w:val="20"/>
              </w:rPr>
              <w:t>Non-personal information</w:t>
            </w:r>
          </w:p>
        </w:tc>
        <w:tc>
          <w:tcPr>
            <w:tcW w:w="1483" w:type="dxa"/>
          </w:tcPr>
          <w:p w14:paraId="478EA975" w14:textId="75F4254C" w:rsidR="00FF43B9" w:rsidRPr="00D94668" w:rsidRDefault="00FF43B9" w:rsidP="00FF43B9">
            <w:pPr>
              <w:rPr>
                <w:sz w:val="20"/>
                <w:szCs w:val="20"/>
              </w:rPr>
            </w:pPr>
            <w:r w:rsidRPr="00D94668">
              <w:rPr>
                <w:sz w:val="20"/>
                <w:szCs w:val="20"/>
              </w:rPr>
              <w:t>22 November 2019</w:t>
            </w:r>
          </w:p>
        </w:tc>
        <w:tc>
          <w:tcPr>
            <w:tcW w:w="4395" w:type="dxa"/>
          </w:tcPr>
          <w:p w14:paraId="4707D7AD" w14:textId="6B74C7FD" w:rsidR="00FF43B9" w:rsidRPr="00D94668" w:rsidRDefault="00FF43B9" w:rsidP="00FF43B9">
            <w:pPr>
              <w:rPr>
                <w:sz w:val="20"/>
                <w:szCs w:val="20"/>
              </w:rPr>
            </w:pPr>
            <w:r w:rsidRPr="00D94668">
              <w:rPr>
                <w:sz w:val="20"/>
                <w:szCs w:val="20"/>
              </w:rPr>
              <w:t xml:space="preserve">The AFP </w:t>
            </w:r>
            <w:r>
              <w:rPr>
                <w:sz w:val="20"/>
                <w:szCs w:val="20"/>
              </w:rPr>
              <w:t>did</w:t>
            </w:r>
            <w:r w:rsidRPr="00D94668">
              <w:rPr>
                <w:sz w:val="20"/>
                <w:szCs w:val="20"/>
              </w:rPr>
              <w:t xml:space="preserve"> not compl</w:t>
            </w:r>
            <w:r>
              <w:rPr>
                <w:sz w:val="20"/>
                <w:szCs w:val="20"/>
              </w:rPr>
              <w:t>y</w:t>
            </w:r>
            <w:r w:rsidRPr="00D94668">
              <w:rPr>
                <w:sz w:val="20"/>
                <w:szCs w:val="20"/>
              </w:rPr>
              <w:t xml:space="preserve"> with the statutory processing periods in processing 34.44% of FOI requests in the 2017-18 financial year and 53.08% in the 2018-19 financial year.</w:t>
            </w:r>
          </w:p>
        </w:tc>
        <w:tc>
          <w:tcPr>
            <w:tcW w:w="5811" w:type="dxa"/>
          </w:tcPr>
          <w:p w14:paraId="75E3D33D" w14:textId="2807F7AF" w:rsidR="00FF43B9" w:rsidRPr="00D94668" w:rsidRDefault="00FF43B9" w:rsidP="00FF43B9">
            <w:pPr>
              <w:spacing w:after="0"/>
              <w:ind w:left="177"/>
              <w:rPr>
                <w:sz w:val="20"/>
                <w:szCs w:val="20"/>
              </w:rPr>
            </w:pPr>
            <w:r>
              <w:rPr>
                <w:sz w:val="20"/>
                <w:szCs w:val="20"/>
              </w:rPr>
              <w:t>Three</w:t>
            </w:r>
            <w:r w:rsidRPr="00D94668">
              <w:rPr>
                <w:sz w:val="20"/>
                <w:szCs w:val="20"/>
              </w:rPr>
              <w:t xml:space="preserve"> recommendations were made</w:t>
            </w:r>
            <w:r>
              <w:rPr>
                <w:sz w:val="20"/>
                <w:szCs w:val="20"/>
              </w:rPr>
              <w:t>:</w:t>
            </w:r>
          </w:p>
          <w:p w14:paraId="402BB2DC" w14:textId="3BF02BB4" w:rsidR="00FF43B9" w:rsidRPr="00D94668" w:rsidRDefault="00FF43B9" w:rsidP="00FF43B9">
            <w:pPr>
              <w:pStyle w:val="ListParagraph"/>
              <w:numPr>
                <w:ilvl w:val="0"/>
                <w:numId w:val="16"/>
              </w:numPr>
              <w:spacing w:after="0" w:line="240" w:lineRule="auto"/>
              <w:rPr>
                <w:sz w:val="20"/>
                <w:szCs w:val="20"/>
              </w:rPr>
            </w:pPr>
            <w:r>
              <w:rPr>
                <w:sz w:val="20"/>
                <w:szCs w:val="20"/>
              </w:rPr>
              <w:t>A</w:t>
            </w:r>
            <w:r w:rsidRPr="00D94668">
              <w:rPr>
                <w:sz w:val="20"/>
                <w:szCs w:val="20"/>
              </w:rPr>
              <w:t xml:space="preserve"> statement to be issued to all staff highlighting the AFP’s obligations under the FOI Act. </w:t>
            </w:r>
          </w:p>
          <w:p w14:paraId="67798ABF" w14:textId="54B5B53D" w:rsidR="00FF43B9" w:rsidRDefault="00FF43B9" w:rsidP="00FF43B9">
            <w:pPr>
              <w:pStyle w:val="ListParagraph"/>
              <w:numPr>
                <w:ilvl w:val="0"/>
                <w:numId w:val="16"/>
              </w:numPr>
              <w:spacing w:after="0" w:line="240" w:lineRule="auto"/>
              <w:rPr>
                <w:sz w:val="20"/>
                <w:szCs w:val="20"/>
              </w:rPr>
            </w:pPr>
            <w:r>
              <w:rPr>
                <w:sz w:val="20"/>
                <w:szCs w:val="20"/>
              </w:rPr>
              <w:t>A</w:t>
            </w:r>
            <w:r w:rsidRPr="00D94668">
              <w:rPr>
                <w:sz w:val="20"/>
                <w:szCs w:val="20"/>
              </w:rPr>
              <w:t xml:space="preserve"> review of its guidance relating to early assessment of whether an extension of time or consultation may be required</w:t>
            </w:r>
            <w:r>
              <w:rPr>
                <w:sz w:val="20"/>
                <w:szCs w:val="20"/>
              </w:rPr>
              <w:t>.</w:t>
            </w:r>
          </w:p>
          <w:p w14:paraId="12E9F073" w14:textId="02ED89ED" w:rsidR="00FF43B9" w:rsidRPr="00D94668" w:rsidRDefault="00FF43B9" w:rsidP="00FF43B9">
            <w:pPr>
              <w:pStyle w:val="ListParagraph"/>
              <w:numPr>
                <w:ilvl w:val="0"/>
                <w:numId w:val="16"/>
              </w:numPr>
              <w:spacing w:after="0" w:line="240" w:lineRule="auto"/>
              <w:rPr>
                <w:sz w:val="20"/>
                <w:szCs w:val="20"/>
              </w:rPr>
            </w:pPr>
            <w:r>
              <w:rPr>
                <w:sz w:val="20"/>
                <w:szCs w:val="20"/>
              </w:rPr>
              <w:t xml:space="preserve">A </w:t>
            </w:r>
            <w:r w:rsidRPr="00D94668">
              <w:rPr>
                <w:sz w:val="20"/>
                <w:szCs w:val="20"/>
              </w:rPr>
              <w:t>review and update its guidance material in line with the findings of the investigation.</w:t>
            </w:r>
          </w:p>
        </w:tc>
        <w:tc>
          <w:tcPr>
            <w:tcW w:w="2127" w:type="dxa"/>
          </w:tcPr>
          <w:p w14:paraId="33BA3522" w14:textId="40D83F45" w:rsidR="00FF43B9" w:rsidRDefault="00FF43B9" w:rsidP="00FF43B9">
            <w:pPr>
              <w:rPr>
                <w:sz w:val="20"/>
                <w:szCs w:val="20"/>
              </w:rPr>
            </w:pPr>
            <w:r>
              <w:rPr>
                <w:sz w:val="20"/>
                <w:szCs w:val="20"/>
              </w:rPr>
              <w:t>Accepted and implemented.</w:t>
            </w:r>
          </w:p>
        </w:tc>
        <w:tc>
          <w:tcPr>
            <w:tcW w:w="1984" w:type="dxa"/>
          </w:tcPr>
          <w:p w14:paraId="09952C87" w14:textId="3A656B8C" w:rsidR="00FF43B9" w:rsidRDefault="00FF43B9" w:rsidP="00FF43B9">
            <w:pPr>
              <w:rPr>
                <w:sz w:val="20"/>
                <w:szCs w:val="20"/>
              </w:rPr>
            </w:pPr>
            <w:r>
              <w:rPr>
                <w:sz w:val="20"/>
                <w:szCs w:val="20"/>
              </w:rPr>
              <w:t>No further action to be taken.</w:t>
            </w:r>
          </w:p>
        </w:tc>
      </w:tr>
      <w:tr w:rsidR="00FF43B9" w:rsidRPr="00D94668" w14:paraId="4B64A4D3" w14:textId="380C340A" w:rsidTr="0086062E">
        <w:trPr>
          <w:trHeight w:val="2418"/>
        </w:trPr>
        <w:tc>
          <w:tcPr>
            <w:tcW w:w="1888" w:type="dxa"/>
          </w:tcPr>
          <w:p w14:paraId="5F361EA3" w14:textId="70610B8C" w:rsidR="00FF43B9" w:rsidRPr="00D94668" w:rsidRDefault="00FF43B9" w:rsidP="00FF43B9">
            <w:pPr>
              <w:rPr>
                <w:sz w:val="20"/>
                <w:szCs w:val="20"/>
              </w:rPr>
            </w:pPr>
            <w:r w:rsidRPr="00D94668">
              <w:rPr>
                <w:sz w:val="20"/>
                <w:szCs w:val="20"/>
              </w:rPr>
              <w:t xml:space="preserve">Department of </w:t>
            </w:r>
            <w:r>
              <w:rPr>
                <w:sz w:val="20"/>
                <w:szCs w:val="20"/>
              </w:rPr>
              <w:t xml:space="preserve">the </w:t>
            </w:r>
            <w:r w:rsidRPr="00D94668">
              <w:rPr>
                <w:sz w:val="20"/>
                <w:szCs w:val="20"/>
              </w:rPr>
              <w:t>Prime Minister and Cabinet</w:t>
            </w:r>
          </w:p>
        </w:tc>
        <w:tc>
          <w:tcPr>
            <w:tcW w:w="2223" w:type="dxa"/>
          </w:tcPr>
          <w:p w14:paraId="3A423CF0" w14:textId="70713E03" w:rsidR="00FF43B9" w:rsidRPr="00D94668" w:rsidRDefault="00FF43B9" w:rsidP="00FF43B9">
            <w:pPr>
              <w:rPr>
                <w:sz w:val="20"/>
                <w:szCs w:val="20"/>
              </w:rPr>
            </w:pPr>
            <w:r w:rsidRPr="00D94668">
              <w:rPr>
                <w:sz w:val="20"/>
                <w:szCs w:val="20"/>
              </w:rPr>
              <w:t>Compliance with statutory processing timeframes</w:t>
            </w:r>
          </w:p>
        </w:tc>
        <w:tc>
          <w:tcPr>
            <w:tcW w:w="1352" w:type="dxa"/>
          </w:tcPr>
          <w:p w14:paraId="1A28A858" w14:textId="08BA5C3D" w:rsidR="00FF43B9" w:rsidRPr="00D94668" w:rsidRDefault="00FF43B9" w:rsidP="00FF43B9">
            <w:pPr>
              <w:rPr>
                <w:sz w:val="20"/>
                <w:szCs w:val="20"/>
              </w:rPr>
            </w:pPr>
            <w:r w:rsidRPr="00D94668">
              <w:rPr>
                <w:sz w:val="20"/>
                <w:szCs w:val="20"/>
              </w:rPr>
              <w:t>Non-personal information</w:t>
            </w:r>
          </w:p>
        </w:tc>
        <w:tc>
          <w:tcPr>
            <w:tcW w:w="1483" w:type="dxa"/>
          </w:tcPr>
          <w:p w14:paraId="24CEF3B0" w14:textId="77777777" w:rsidR="00FF43B9" w:rsidRPr="00D94668" w:rsidRDefault="00FF43B9" w:rsidP="00FF43B9">
            <w:pPr>
              <w:rPr>
                <w:sz w:val="20"/>
                <w:szCs w:val="20"/>
              </w:rPr>
            </w:pPr>
            <w:r w:rsidRPr="00D94668">
              <w:rPr>
                <w:sz w:val="20"/>
                <w:szCs w:val="20"/>
              </w:rPr>
              <w:t>22 November 2019</w:t>
            </w:r>
          </w:p>
        </w:tc>
        <w:tc>
          <w:tcPr>
            <w:tcW w:w="4395" w:type="dxa"/>
          </w:tcPr>
          <w:p w14:paraId="326777DC" w14:textId="391A3C39" w:rsidR="00FF43B9" w:rsidRPr="00D94668" w:rsidRDefault="00FF43B9" w:rsidP="00FF43B9">
            <w:pPr>
              <w:rPr>
                <w:sz w:val="20"/>
                <w:szCs w:val="20"/>
              </w:rPr>
            </w:pPr>
            <w:r w:rsidRPr="00D94668">
              <w:rPr>
                <w:sz w:val="20"/>
                <w:szCs w:val="20"/>
              </w:rPr>
              <w:t xml:space="preserve">The Department </w:t>
            </w:r>
            <w:r>
              <w:rPr>
                <w:sz w:val="20"/>
                <w:szCs w:val="20"/>
              </w:rPr>
              <w:t>did</w:t>
            </w:r>
            <w:r w:rsidRPr="00D94668">
              <w:rPr>
                <w:sz w:val="20"/>
                <w:szCs w:val="20"/>
              </w:rPr>
              <w:t xml:space="preserve"> not compl</w:t>
            </w:r>
            <w:r>
              <w:rPr>
                <w:sz w:val="20"/>
                <w:szCs w:val="20"/>
              </w:rPr>
              <w:t>y</w:t>
            </w:r>
            <w:r w:rsidRPr="00D94668">
              <w:rPr>
                <w:sz w:val="20"/>
                <w:szCs w:val="20"/>
              </w:rPr>
              <w:t xml:space="preserve"> with the statutory processing periods in processing 35.56% of FOI requests in the 2017-18 financial year and 72.65% in the 2018-19 financial year.</w:t>
            </w:r>
          </w:p>
        </w:tc>
        <w:tc>
          <w:tcPr>
            <w:tcW w:w="5811" w:type="dxa"/>
          </w:tcPr>
          <w:p w14:paraId="466E135B" w14:textId="3E85357E" w:rsidR="00FF43B9" w:rsidRPr="00D94668" w:rsidRDefault="00FF43B9" w:rsidP="00FF43B9">
            <w:pPr>
              <w:spacing w:after="0"/>
              <w:ind w:left="177"/>
              <w:rPr>
                <w:sz w:val="20"/>
                <w:szCs w:val="20"/>
              </w:rPr>
            </w:pPr>
            <w:r w:rsidRPr="00D94668">
              <w:rPr>
                <w:sz w:val="20"/>
                <w:szCs w:val="20"/>
              </w:rPr>
              <w:t>Four recommendations were made</w:t>
            </w:r>
            <w:r>
              <w:rPr>
                <w:sz w:val="20"/>
                <w:szCs w:val="20"/>
              </w:rPr>
              <w:t>:</w:t>
            </w:r>
          </w:p>
          <w:p w14:paraId="07E95B22" w14:textId="15CC0F2B" w:rsidR="00FF43B9" w:rsidRPr="00D94668" w:rsidRDefault="00FF43B9" w:rsidP="00FF43B9">
            <w:pPr>
              <w:pStyle w:val="ListParagraph"/>
              <w:numPr>
                <w:ilvl w:val="0"/>
                <w:numId w:val="15"/>
              </w:numPr>
              <w:spacing w:after="0" w:line="240" w:lineRule="auto"/>
              <w:rPr>
                <w:sz w:val="20"/>
                <w:szCs w:val="20"/>
              </w:rPr>
            </w:pPr>
            <w:r>
              <w:rPr>
                <w:sz w:val="20"/>
                <w:szCs w:val="20"/>
              </w:rPr>
              <w:t>A</w:t>
            </w:r>
            <w:r w:rsidRPr="00D94668">
              <w:rPr>
                <w:sz w:val="20"/>
                <w:szCs w:val="20"/>
              </w:rPr>
              <w:t xml:space="preserve"> statement to be issued to all staff highlighting the Department’s obligations under the FOI Act.</w:t>
            </w:r>
          </w:p>
          <w:p w14:paraId="1E59EF5C" w14:textId="506E8FB4" w:rsidR="00FF43B9" w:rsidRPr="00D94668" w:rsidRDefault="00FF43B9" w:rsidP="00FF43B9">
            <w:pPr>
              <w:pStyle w:val="ListParagraph"/>
              <w:numPr>
                <w:ilvl w:val="0"/>
                <w:numId w:val="15"/>
              </w:numPr>
              <w:spacing w:after="0" w:line="240" w:lineRule="auto"/>
              <w:rPr>
                <w:sz w:val="20"/>
                <w:szCs w:val="20"/>
              </w:rPr>
            </w:pPr>
            <w:r w:rsidRPr="00D94668">
              <w:rPr>
                <w:sz w:val="20"/>
                <w:szCs w:val="20"/>
              </w:rPr>
              <w:t>FOI requests are processed in accordance with the objects of the FOI Act</w:t>
            </w:r>
            <w:r>
              <w:rPr>
                <w:sz w:val="20"/>
                <w:szCs w:val="20"/>
              </w:rPr>
              <w:t>.</w:t>
            </w:r>
            <w:r w:rsidRPr="00D94668">
              <w:rPr>
                <w:sz w:val="20"/>
                <w:szCs w:val="20"/>
              </w:rPr>
              <w:t xml:space="preserve"> </w:t>
            </w:r>
          </w:p>
          <w:p w14:paraId="7B406540" w14:textId="6661A560" w:rsidR="00FF43B9" w:rsidRPr="00D94668" w:rsidRDefault="00FF43B9" w:rsidP="00FF43B9">
            <w:pPr>
              <w:pStyle w:val="ListParagraph"/>
              <w:numPr>
                <w:ilvl w:val="0"/>
                <w:numId w:val="15"/>
              </w:numPr>
              <w:spacing w:after="0" w:line="240" w:lineRule="auto"/>
              <w:rPr>
                <w:sz w:val="20"/>
                <w:szCs w:val="20"/>
              </w:rPr>
            </w:pPr>
            <w:r>
              <w:rPr>
                <w:sz w:val="20"/>
                <w:szCs w:val="20"/>
              </w:rPr>
              <w:t>T</w:t>
            </w:r>
            <w:r w:rsidRPr="00D94668">
              <w:rPr>
                <w:sz w:val="20"/>
                <w:szCs w:val="20"/>
              </w:rPr>
              <w:t>he development of policies and procedures in relation to administrative access</w:t>
            </w:r>
            <w:r>
              <w:rPr>
                <w:sz w:val="20"/>
                <w:szCs w:val="20"/>
              </w:rPr>
              <w:t>.</w:t>
            </w:r>
            <w:r w:rsidRPr="00D94668">
              <w:rPr>
                <w:sz w:val="20"/>
                <w:szCs w:val="20"/>
              </w:rPr>
              <w:t xml:space="preserve"> </w:t>
            </w:r>
          </w:p>
          <w:p w14:paraId="7079375E" w14:textId="18B1DAA1" w:rsidR="00FF43B9" w:rsidRPr="00D94668" w:rsidRDefault="00FF43B9" w:rsidP="00FF43B9">
            <w:pPr>
              <w:pStyle w:val="ListParagraph"/>
              <w:numPr>
                <w:ilvl w:val="0"/>
                <w:numId w:val="15"/>
              </w:numPr>
              <w:spacing w:after="0" w:line="240" w:lineRule="auto"/>
              <w:rPr>
                <w:sz w:val="20"/>
                <w:szCs w:val="20"/>
              </w:rPr>
            </w:pPr>
            <w:r>
              <w:rPr>
                <w:sz w:val="20"/>
                <w:szCs w:val="20"/>
              </w:rPr>
              <w:t>C</w:t>
            </w:r>
            <w:r w:rsidRPr="00D94668">
              <w:rPr>
                <w:sz w:val="20"/>
                <w:szCs w:val="20"/>
              </w:rPr>
              <w:t>onduct a review and audit of the Department’s FOI processing guidance material and its compliance with statutory timeframes.</w:t>
            </w:r>
          </w:p>
        </w:tc>
        <w:tc>
          <w:tcPr>
            <w:tcW w:w="2127" w:type="dxa"/>
          </w:tcPr>
          <w:p w14:paraId="754DF95F" w14:textId="36944E3B" w:rsidR="00FF43B9" w:rsidRPr="00D94668" w:rsidRDefault="00FF43B9" w:rsidP="00FF43B9">
            <w:pPr>
              <w:rPr>
                <w:sz w:val="20"/>
                <w:szCs w:val="20"/>
              </w:rPr>
            </w:pPr>
            <w:r>
              <w:rPr>
                <w:sz w:val="20"/>
                <w:szCs w:val="20"/>
              </w:rPr>
              <w:t>Accepted and implemented.</w:t>
            </w:r>
          </w:p>
        </w:tc>
        <w:tc>
          <w:tcPr>
            <w:tcW w:w="1984" w:type="dxa"/>
          </w:tcPr>
          <w:p w14:paraId="4735450A" w14:textId="21CB24CE" w:rsidR="00FF43B9" w:rsidRPr="00D94668" w:rsidRDefault="00FF43B9" w:rsidP="00FF43B9">
            <w:pPr>
              <w:rPr>
                <w:sz w:val="20"/>
                <w:szCs w:val="20"/>
              </w:rPr>
            </w:pPr>
            <w:r>
              <w:rPr>
                <w:sz w:val="20"/>
                <w:szCs w:val="20"/>
              </w:rPr>
              <w:t>No further action to be taken.</w:t>
            </w:r>
          </w:p>
        </w:tc>
      </w:tr>
    </w:tbl>
    <w:p w14:paraId="56379AA6" w14:textId="77777777" w:rsidR="001A2DD3" w:rsidRPr="00B01D87" w:rsidRDefault="001A2DD3" w:rsidP="00B01D87"/>
    <w:sectPr w:rsidR="001A2DD3" w:rsidRPr="00B01D87" w:rsidSect="002F1258">
      <w:footerReference w:type="default" r:id="rId10"/>
      <w:headerReference w:type="first" r:id="rId11"/>
      <w:footerReference w:type="first" r:id="rId12"/>
      <w:pgSz w:w="23811" w:h="16838" w:orient="landscape" w:code="8"/>
      <w:pgMar w:top="1701" w:right="2098" w:bottom="1276" w:left="2098" w:header="556"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52722" w14:textId="77777777" w:rsidR="00FF6C9E" w:rsidRDefault="00FF6C9E" w:rsidP="00207961">
      <w:pPr>
        <w:spacing w:after="0"/>
      </w:pPr>
      <w:r>
        <w:separator/>
      </w:r>
    </w:p>
    <w:p w14:paraId="09CB176D" w14:textId="77777777" w:rsidR="00FF6C9E" w:rsidRDefault="00FF6C9E"/>
  </w:endnote>
  <w:endnote w:type="continuationSeparator" w:id="0">
    <w:p w14:paraId="0C3CCBC5" w14:textId="77777777" w:rsidR="00FF6C9E" w:rsidRDefault="00FF6C9E" w:rsidP="00207961">
      <w:pPr>
        <w:spacing w:after="0"/>
      </w:pPr>
      <w:r>
        <w:continuationSeparator/>
      </w:r>
    </w:p>
    <w:p w14:paraId="1361F5F2" w14:textId="77777777" w:rsidR="00FF6C9E" w:rsidRDefault="00FF6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rame-Footer"/>
      <w:tblpPr w:leftFromText="181" w:rightFromText="181" w:vertAnchor="page" w:horzAnchor="page" w:tblpX="1006" w:tblpY="15650"/>
      <w:tblW w:w="1191" w:type="dxa"/>
      <w:tblLook w:val="04A0" w:firstRow="1" w:lastRow="0" w:firstColumn="1" w:lastColumn="0" w:noHBand="0" w:noVBand="1"/>
    </w:tblPr>
    <w:tblGrid>
      <w:gridCol w:w="1191"/>
    </w:tblGrid>
    <w:tr w:rsidR="00BF7F26" w:rsidRPr="00BF7F26" w14:paraId="11CE3243" w14:textId="77777777" w:rsidTr="003F1592">
      <w:trPr>
        <w:trHeight w:val="737"/>
      </w:trPr>
      <w:tc>
        <w:tcPr>
          <w:tcW w:w="1191" w:type="dxa"/>
          <w:vAlign w:val="center"/>
        </w:tcPr>
        <w:sdt>
          <w:sdtPr>
            <w:id w:val="2088491121"/>
            <w:docPartObj>
              <w:docPartGallery w:val="Page Numbers (Bottom of Page)"/>
              <w:docPartUnique/>
            </w:docPartObj>
          </w:sdtPr>
          <w:sdtEndPr>
            <w:rPr>
              <w:rStyle w:val="PageNumber"/>
              <w:b/>
            </w:rPr>
          </w:sdtEndPr>
          <w:sdtContent>
            <w:p w14:paraId="63B42A78" w14:textId="77777777" w:rsidR="00BF7F26" w:rsidRPr="00BF7F26" w:rsidRDefault="00BF7F26" w:rsidP="003F1592">
              <w:pPr>
                <w:pStyle w:val="PageNo"/>
                <w:jc w:val="center"/>
                <w:rPr>
                  <w:rStyle w:val="PageNumber"/>
                  <w:b w:val="0"/>
                </w:rPr>
              </w:pPr>
              <w:r w:rsidRPr="00BF7F26">
                <w:rPr>
                  <w:rStyle w:val="PageNoChar"/>
                </w:rPr>
                <w:fldChar w:fldCharType="begin"/>
              </w:r>
              <w:r w:rsidRPr="00BF7F26">
                <w:rPr>
                  <w:rStyle w:val="PageNoChar"/>
                </w:rPr>
                <w:instrText xml:space="preserve"> PAGE   \* MERGEFORMAT </w:instrText>
              </w:r>
              <w:r w:rsidRPr="00BF7F26">
                <w:rPr>
                  <w:rStyle w:val="PageNoChar"/>
                </w:rPr>
                <w:fldChar w:fldCharType="separate"/>
              </w:r>
              <w:r w:rsidR="009A4F21">
                <w:rPr>
                  <w:rStyle w:val="PageNoChar"/>
                  <w:noProof/>
                </w:rPr>
                <w:t>2</w:t>
              </w:r>
              <w:r w:rsidRPr="00BF7F26">
                <w:rPr>
                  <w:rStyle w:val="PageNoChar"/>
                </w:rPr>
                <w:fldChar w:fldCharType="end"/>
              </w:r>
            </w:p>
          </w:sdtContent>
        </w:sdt>
      </w:tc>
    </w:tr>
  </w:tbl>
  <w:p w14:paraId="2E6AE0B3" w14:textId="77777777" w:rsidR="00BF7F26" w:rsidRDefault="00BF7F26" w:rsidP="00BF7F26">
    <w:pPr>
      <w:pStyle w:val="PageN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rame-Footer"/>
      <w:tblW w:w="21342" w:type="dxa"/>
      <w:tblLook w:val="04A0" w:firstRow="1" w:lastRow="0" w:firstColumn="1" w:lastColumn="0" w:noHBand="0" w:noVBand="1"/>
    </w:tblPr>
    <w:tblGrid>
      <w:gridCol w:w="5973"/>
      <w:gridCol w:w="4928"/>
      <w:gridCol w:w="4728"/>
      <w:gridCol w:w="5713"/>
    </w:tblGrid>
    <w:tr w:rsidR="00C52664" w:rsidRPr="00C52664" w14:paraId="58CE0D4B" w14:textId="77777777" w:rsidTr="00C44681">
      <w:trPr>
        <w:trHeight w:hRule="exact" w:val="911"/>
      </w:trPr>
      <w:tc>
        <w:tcPr>
          <w:tcW w:w="5973" w:type="dxa"/>
        </w:tcPr>
        <w:p w14:paraId="0DD0BB47" w14:textId="77777777" w:rsidR="00C52664" w:rsidRPr="00C52664" w:rsidRDefault="00C52664" w:rsidP="00C52664">
          <w:pPr>
            <w:pStyle w:val="Footer"/>
          </w:pPr>
          <w:r w:rsidRPr="00C52664">
            <w:t>1300 363 992</w:t>
          </w:r>
        </w:p>
        <w:p w14:paraId="1BAD3962" w14:textId="77777777" w:rsidR="00FD7AA7" w:rsidRPr="00C52664" w:rsidRDefault="00C52664" w:rsidP="00C52664">
          <w:pPr>
            <w:pStyle w:val="Footer"/>
          </w:pPr>
          <w:r w:rsidRPr="00C52664">
            <w:t>enquiries@oaic.gov.au</w:t>
          </w:r>
        </w:p>
      </w:tc>
      <w:tc>
        <w:tcPr>
          <w:tcW w:w="4928" w:type="dxa"/>
        </w:tcPr>
        <w:p w14:paraId="5F7F2CFB" w14:textId="77777777" w:rsidR="00C52664" w:rsidRPr="00C52664" w:rsidRDefault="00C52664" w:rsidP="00C52664">
          <w:pPr>
            <w:pStyle w:val="Footer"/>
          </w:pPr>
          <w:r w:rsidRPr="00C52664">
            <w:t>T +61 2 9284 9749</w:t>
          </w:r>
        </w:p>
        <w:p w14:paraId="2CED84DB" w14:textId="77777777" w:rsidR="00FD7AA7" w:rsidRPr="00C52664" w:rsidRDefault="00C52664" w:rsidP="00C52664">
          <w:pPr>
            <w:pStyle w:val="Footer"/>
          </w:pPr>
          <w:r w:rsidRPr="00C52664">
            <w:t>F +61 2 9284 9666</w:t>
          </w:r>
        </w:p>
      </w:tc>
      <w:tc>
        <w:tcPr>
          <w:tcW w:w="4728" w:type="dxa"/>
        </w:tcPr>
        <w:p w14:paraId="2F0EA013" w14:textId="77777777" w:rsidR="00C52664" w:rsidRPr="00C52664" w:rsidRDefault="00C52664" w:rsidP="00C52664">
          <w:pPr>
            <w:pStyle w:val="Footer"/>
          </w:pPr>
          <w:r w:rsidRPr="00C52664">
            <w:t xml:space="preserve">GPO Box 5218 </w:t>
          </w:r>
        </w:p>
        <w:p w14:paraId="5F1FBC90" w14:textId="77777777" w:rsidR="00FD7AA7" w:rsidRPr="00C52664" w:rsidRDefault="00C52664" w:rsidP="00C52664">
          <w:pPr>
            <w:pStyle w:val="Footer"/>
          </w:pPr>
          <w:r w:rsidRPr="00C52664">
            <w:t>Sydney NSW 2001</w:t>
          </w:r>
        </w:p>
      </w:tc>
      <w:tc>
        <w:tcPr>
          <w:tcW w:w="5713" w:type="dxa"/>
        </w:tcPr>
        <w:p w14:paraId="5F91BAF9" w14:textId="77777777" w:rsidR="00C52664" w:rsidRPr="00C52664" w:rsidRDefault="00C52664" w:rsidP="00C52664">
          <w:pPr>
            <w:pStyle w:val="Footer"/>
            <w:rPr>
              <w:rStyle w:val="Strong"/>
            </w:rPr>
          </w:pPr>
          <w:r w:rsidRPr="00C52664">
            <w:rPr>
              <w:rStyle w:val="Strong"/>
            </w:rPr>
            <w:t>www.oaic.gov.au</w:t>
          </w:r>
        </w:p>
        <w:p w14:paraId="74BEDA6A" w14:textId="77777777" w:rsidR="00FD7AA7" w:rsidRPr="00C52664" w:rsidRDefault="00C52664" w:rsidP="00C52664">
          <w:pPr>
            <w:pStyle w:val="Footer"/>
          </w:pPr>
          <w:r w:rsidRPr="00C52664">
            <w:t>ABN 85 249 230 937</w:t>
          </w:r>
        </w:p>
      </w:tc>
    </w:tr>
  </w:tbl>
  <w:p w14:paraId="73E0C897" w14:textId="77777777" w:rsidR="00483C51" w:rsidRDefault="00422EDA">
    <w:pPr>
      <w:pStyle w:val="Footer"/>
    </w:pPr>
    <w:r>
      <w:rPr>
        <w:noProof/>
        <w:lang w:eastAsia="en-AU"/>
      </w:rPr>
      <mc:AlternateContent>
        <mc:Choice Requires="wpg">
          <w:drawing>
            <wp:anchor distT="0" distB="0" distL="114300" distR="114300" simplePos="0" relativeHeight="251662336" behindDoc="0" locked="1" layoutInCell="1" allowOverlap="1" wp14:anchorId="798B6C9A" wp14:editId="342D2DD7">
              <wp:simplePos x="0" y="0"/>
              <wp:positionH relativeFrom="page">
                <wp:posOffset>13468350</wp:posOffset>
              </wp:positionH>
              <wp:positionV relativeFrom="page">
                <wp:posOffset>9458325</wp:posOffset>
              </wp:positionV>
              <wp:extent cx="881380" cy="881380"/>
              <wp:effectExtent l="0" t="0" r="0" b="0"/>
              <wp:wrapNone/>
              <wp:docPr id="1" name="Group 1"/>
              <wp:cNvGraphicFramePr/>
              <a:graphic xmlns:a="http://schemas.openxmlformats.org/drawingml/2006/main">
                <a:graphicData uri="http://schemas.microsoft.com/office/word/2010/wordprocessingGroup">
                  <wpg:wgp>
                    <wpg:cNvGrpSpPr/>
                    <wpg:grpSpPr>
                      <a:xfrm>
                        <a:off x="0" y="0"/>
                        <a:ext cx="881380" cy="881380"/>
                        <a:chOff x="0" y="0"/>
                        <a:chExt cx="882000" cy="882000"/>
                      </a:xfrm>
                    </wpg:grpSpPr>
                    <wps:wsp>
                      <wps:cNvPr id="2" name="Rectangle 2"/>
                      <wps:cNvSpPr>
                        <a:spLocks noChangeAspect="1"/>
                      </wps:cNvSpPr>
                      <wps:spPr>
                        <a:xfrm>
                          <a:off x="0" y="0"/>
                          <a:ext cx="882000" cy="88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1"/>
                        <a:stretch>
                          <a:fillRect/>
                        </a:stretch>
                      </pic:blipFill>
                      <pic:spPr>
                        <a:xfrm>
                          <a:off x="236764" y="375558"/>
                          <a:ext cx="413385" cy="125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C322D0" id="Group 1" o:spid="_x0000_s1026" style="position:absolute;margin-left:1060.5pt;margin-top:744.75pt;width:69.4pt;height:69.4pt;z-index:251662336;mso-position-horizontal-relative:page;mso-position-vertical-relative:page;mso-width-relative:margin;mso-height-relative:margin" coordsize="8820,88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">
              <v:rect id="Rectangle 2" o:spid="_x0000_s1027" style="position:absolute;width:8820;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2a3a [3215]" stroked="f" strokeweight="2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367;top:3755;width:4134;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">
                <v:imagedata r:id="rId2" o:title=""/>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73B9" w14:textId="77777777" w:rsidR="00FF6C9E" w:rsidRDefault="00FF6C9E" w:rsidP="00C46B45">
      <w:pPr>
        <w:spacing w:before="60" w:after="60"/>
      </w:pPr>
      <w:r>
        <w:separator/>
      </w:r>
    </w:p>
  </w:footnote>
  <w:footnote w:type="continuationSeparator" w:id="0">
    <w:p w14:paraId="0613FE13" w14:textId="77777777" w:rsidR="00FF6C9E" w:rsidRDefault="00FF6C9E" w:rsidP="00207961">
      <w:pPr>
        <w:spacing w:after="0"/>
      </w:pPr>
      <w:r>
        <w:continuationSeparator/>
      </w:r>
    </w:p>
    <w:p w14:paraId="4806DB38" w14:textId="77777777" w:rsidR="00FF6C9E" w:rsidRDefault="00FF6C9E"/>
  </w:footnote>
  <w:footnote w:id="1">
    <w:p w14:paraId="5E215470" w14:textId="77777777" w:rsidR="00FF43B9" w:rsidRDefault="00FF43B9" w:rsidP="0051255A">
      <w:pPr>
        <w:pStyle w:val="FootnoteText"/>
      </w:pPr>
      <w:r>
        <w:rPr>
          <w:rStyle w:val="FootnoteReference"/>
        </w:rPr>
        <w:footnoteRef/>
      </w:r>
      <w:r>
        <w:t xml:space="preserve"> </w:t>
      </w:r>
      <w:hyperlink r:id="rId1" w:history="1">
        <w:r>
          <w:rPr>
            <w:rStyle w:val="Hyperlink"/>
          </w:rPr>
          <w:t>Request access to information | Comcare</w:t>
        </w:r>
      </w:hyperlink>
    </w:p>
  </w:footnote>
  <w:footnote w:id="2">
    <w:p w14:paraId="3FB140FA" w14:textId="77777777" w:rsidR="00FF43B9" w:rsidRDefault="00FF43B9" w:rsidP="0051255A">
      <w:pPr>
        <w:pStyle w:val="FootnoteText"/>
      </w:pPr>
      <w:r>
        <w:rPr>
          <w:rStyle w:val="FootnoteReference"/>
        </w:rPr>
        <w:footnoteRef/>
      </w:r>
      <w:r>
        <w:t xml:space="preserve"> </w:t>
      </w:r>
      <w:hyperlink r:id="rId2" w:history="1">
        <w:r>
          <w:rPr>
            <w:rStyle w:val="Hyperlink"/>
          </w:rPr>
          <w:t>Request access to information | Comcare</w:t>
        </w:r>
      </w:hyperlink>
    </w:p>
  </w:footnote>
  <w:footnote w:id="3">
    <w:p w14:paraId="3BE60431" w14:textId="77777777" w:rsidR="00FF43B9" w:rsidRDefault="00FF43B9" w:rsidP="00EA1162">
      <w:pPr>
        <w:pStyle w:val="FootnoteText"/>
      </w:pPr>
      <w:r>
        <w:rPr>
          <w:rStyle w:val="FootnoteReference"/>
        </w:rPr>
        <w:footnoteRef/>
      </w:r>
      <w:r>
        <w:tab/>
        <w:t xml:space="preserve">See report available at </w:t>
      </w:r>
      <w:hyperlink r:id="rId3" w:history="1">
        <w:r>
          <w:rPr>
            <w:rStyle w:val="Hyperlink"/>
          </w:rPr>
          <w:t>Commissioner initiated investigation into the Department of Home Affairs | OAIC</w:t>
        </w:r>
      </w:hyperlink>
      <w:r>
        <w:t>.</w:t>
      </w:r>
    </w:p>
  </w:footnote>
  <w:footnote w:id="4">
    <w:p w14:paraId="023B8EB7" w14:textId="77777777" w:rsidR="00FF43B9" w:rsidRDefault="00FF43B9" w:rsidP="00EA1162">
      <w:pPr>
        <w:pStyle w:val="FootnoteText"/>
      </w:pPr>
      <w:r>
        <w:rPr>
          <w:rStyle w:val="FootnoteReference"/>
        </w:rPr>
        <w:footnoteRef/>
      </w:r>
      <w:r>
        <w:t xml:space="preserve"> </w:t>
      </w:r>
      <w:r>
        <w:tab/>
        <w:t xml:space="preserve">See the OAIC’s </w:t>
      </w:r>
      <w:hyperlink r:id="rId4" w:history="1">
        <w:r w:rsidRPr="00F51D3E">
          <w:rPr>
            <w:rStyle w:val="Hyperlink"/>
          </w:rPr>
          <w:t>Freedom of Information Investigation Outcome’s</w:t>
        </w:r>
      </w:hyperlink>
      <w:r>
        <w:t xml:space="preserve"> table, specifically the Notice on Completions of 25 November 2021 and 3 May 2023.</w:t>
      </w:r>
    </w:p>
  </w:footnote>
  <w:footnote w:id="5">
    <w:p w14:paraId="1EBE6382" w14:textId="77777777" w:rsidR="00FF43B9" w:rsidRDefault="00FF43B9" w:rsidP="00D5483C">
      <w:pPr>
        <w:pStyle w:val="FootnoteText"/>
      </w:pPr>
      <w:r>
        <w:rPr>
          <w:rStyle w:val="FootnoteReference"/>
        </w:rPr>
        <w:footnoteRef/>
      </w:r>
      <w:r>
        <w:t xml:space="preserve"> Suggestion made under s 87(d) of the FOI Act.</w:t>
      </w:r>
    </w:p>
  </w:footnote>
  <w:footnote w:id="6">
    <w:p w14:paraId="38055C4A" w14:textId="77777777" w:rsidR="00FF43B9" w:rsidRDefault="00FF43B9" w:rsidP="001502E6">
      <w:pPr>
        <w:pStyle w:val="FootnoteText"/>
      </w:pPr>
      <w:r>
        <w:rPr>
          <w:rStyle w:val="FootnoteReference"/>
        </w:rPr>
        <w:footnoteRef/>
      </w:r>
      <w:r>
        <w:t xml:space="preserve"> Suggestions made under s 87(d) of the FOI Act.</w:t>
      </w:r>
    </w:p>
  </w:footnote>
  <w:footnote w:id="7">
    <w:p w14:paraId="368A1C0B" w14:textId="77777777" w:rsidR="00FF43B9" w:rsidRDefault="00FF43B9" w:rsidP="00AE7F9C">
      <w:pPr>
        <w:pStyle w:val="FootnoteText"/>
      </w:pPr>
      <w:r>
        <w:rPr>
          <w:rStyle w:val="FootnoteReference"/>
        </w:rPr>
        <w:footnoteRef/>
      </w:r>
      <w:r>
        <w:t xml:space="preserve"> </w:t>
      </w:r>
      <w:r w:rsidRPr="007F0EE0">
        <w:t>Suggestion made pursuant to s 87(d) of the FOI Act.</w:t>
      </w:r>
    </w:p>
  </w:footnote>
  <w:footnote w:id="8">
    <w:p w14:paraId="05040436" w14:textId="77777777" w:rsidR="00FF43B9" w:rsidRDefault="00FF43B9" w:rsidP="00470AA9">
      <w:pPr>
        <w:pStyle w:val="FootnoteText"/>
      </w:pPr>
      <w:r>
        <w:rPr>
          <w:rStyle w:val="FootnoteReference"/>
        </w:rPr>
        <w:footnoteRef/>
      </w:r>
      <w:r>
        <w:t xml:space="preserve"> Suggestions made </w:t>
      </w:r>
      <w:r>
        <w:rPr>
          <w:rFonts w:ascii="SourceSansPro-Regular" w:eastAsiaTheme="minorEastAsia" w:hAnsi="SourceSansPro-Regular" w:cs="SourceSansPro-Regular"/>
          <w:lang w:eastAsia="ko-KR"/>
        </w:rPr>
        <w:t>pursuant to s 87(d) of the FOI Act.</w:t>
      </w:r>
    </w:p>
  </w:footnote>
  <w:footnote w:id="9">
    <w:p w14:paraId="10AB4CAC" w14:textId="77777777" w:rsidR="00FF43B9" w:rsidRDefault="00FF43B9">
      <w:pPr>
        <w:pStyle w:val="FootnoteText"/>
      </w:pPr>
      <w:r>
        <w:rPr>
          <w:rStyle w:val="FootnoteReference"/>
        </w:rPr>
        <w:footnoteRef/>
      </w:r>
      <w:r>
        <w:t xml:space="preserve"> </w:t>
      </w:r>
      <w:r w:rsidRPr="00260DB5">
        <w:t>At the time this investigation commenced the responsible department was the Department of Human Services. On 29 May 2019, the Administrative Arrangements Order established Services Australia.</w:t>
      </w:r>
    </w:p>
  </w:footnote>
  <w:footnote w:id="10">
    <w:p w14:paraId="216361DC" w14:textId="77777777" w:rsidR="00FF43B9" w:rsidRDefault="00FF43B9" w:rsidP="00664DF5">
      <w:pPr>
        <w:pStyle w:val="FootnoteText"/>
      </w:pPr>
      <w:r>
        <w:rPr>
          <w:rStyle w:val="FootnoteReference"/>
        </w:rPr>
        <w:footnoteRef/>
      </w:r>
      <w:r>
        <w:t xml:space="preserve"> This investigation combined 11 FOI complaints made under s 70 of the FOI Act. Due to the overlapping issue raised in each FOI complaint the Information Commissioner progressed all 11 complaints together. </w:t>
      </w:r>
    </w:p>
  </w:footnote>
  <w:footnote w:id="11">
    <w:p w14:paraId="33893B4E" w14:textId="77777777" w:rsidR="00FF43B9" w:rsidRDefault="00FF43B9" w:rsidP="00664DF5">
      <w:pPr>
        <w:pStyle w:val="FootnoteText"/>
      </w:pPr>
      <w:r>
        <w:rPr>
          <w:rStyle w:val="FootnoteReference"/>
        </w:rPr>
        <w:footnoteRef/>
      </w:r>
      <w:r>
        <w:t xml:space="preserve"> Each FOI request forms a case study in the Commissioner Initiated Investigation into the Department of Home Affairs compliance with statutory processing periods for non-personal requests for information.</w:t>
      </w:r>
    </w:p>
  </w:footnote>
  <w:footnote w:id="12">
    <w:p w14:paraId="346864A9" w14:textId="77777777" w:rsidR="00FF43B9" w:rsidRDefault="00FF43B9" w:rsidP="006E4F02">
      <w:pPr>
        <w:pStyle w:val="FootnoteText"/>
      </w:pPr>
      <w:r>
        <w:rPr>
          <w:rStyle w:val="FootnoteReference"/>
        </w:rPr>
        <w:footnoteRef/>
      </w:r>
      <w:r>
        <w:t xml:space="preserve"> </w:t>
      </w:r>
      <w:r w:rsidRPr="00440A36">
        <w:t>At the time this investigation commenced the responsible department was the Department of Human Services. On 29 May 2019, the Administrative Arrangements Order established Services Australia.</w:t>
      </w:r>
    </w:p>
  </w:footnote>
  <w:footnote w:id="13">
    <w:p w14:paraId="23EA721A" w14:textId="77777777" w:rsidR="00FF43B9" w:rsidRDefault="00FF43B9" w:rsidP="006E4F02">
      <w:pPr>
        <w:pStyle w:val="FootnoteText"/>
      </w:pPr>
      <w:r>
        <w:rPr>
          <w:rStyle w:val="FootnoteReference"/>
        </w:rPr>
        <w:footnoteRef/>
      </w:r>
      <w:r>
        <w:t xml:space="preserve"> This investigation combined three FOI complaints made under s 70 of the FOI Act. Due to the overlapping issues raised in each FOI complaint the Information Commissioner progressed all three complaints under one investigation. </w:t>
      </w:r>
    </w:p>
  </w:footnote>
  <w:footnote w:id="14">
    <w:p w14:paraId="195EE7BA" w14:textId="77777777" w:rsidR="00FF43B9" w:rsidRDefault="00FF43B9" w:rsidP="00684572">
      <w:pPr>
        <w:pStyle w:val="FootnoteText"/>
      </w:pPr>
      <w:r>
        <w:rPr>
          <w:rStyle w:val="FootnoteReference"/>
        </w:rPr>
        <w:footnoteRef/>
      </w:r>
      <w:r>
        <w:t xml:space="preserve"> On 8 July 2020, the Information Commissioner granted an extension of time to respond to recommendation six until 30 October 2020.</w:t>
      </w:r>
    </w:p>
  </w:footnote>
  <w:footnote w:id="15">
    <w:p w14:paraId="00496946" w14:textId="77777777" w:rsidR="00FF43B9" w:rsidRDefault="00FF43B9" w:rsidP="00B01D87">
      <w:pPr>
        <w:pStyle w:val="FootnoteText"/>
      </w:pPr>
      <w:r>
        <w:rPr>
          <w:rStyle w:val="FootnoteReference"/>
        </w:rPr>
        <w:footnoteRef/>
      </w:r>
      <w:r>
        <w:t xml:space="preserve"> At the time this investigation commenced the responsible department was the Department of Human Services. On 29 May 2019, the Administrative Arrangements Order established Services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915C" w14:textId="77777777" w:rsidR="000429E6" w:rsidRPr="004D4D9B" w:rsidRDefault="00483C51" w:rsidP="004D4D9B">
    <w:pPr>
      <w:pStyle w:val="Header"/>
    </w:pPr>
    <w:r w:rsidRPr="00483C51">
      <w:rPr>
        <w:noProof/>
        <w:lang w:eastAsia="en-AU"/>
      </w:rPr>
      <w:drawing>
        <wp:anchor distT="0" distB="0" distL="114300" distR="114300" simplePos="0" relativeHeight="251651066" behindDoc="1" locked="1" layoutInCell="1" allowOverlap="1" wp14:anchorId="7C7AE77E" wp14:editId="11278903">
          <wp:simplePos x="0" y="0"/>
          <wp:positionH relativeFrom="page">
            <wp:align>right</wp:align>
          </wp:positionH>
          <wp:positionV relativeFrom="page">
            <wp:posOffset>38100</wp:posOffset>
          </wp:positionV>
          <wp:extent cx="7559675" cy="10695305"/>
          <wp:effectExtent l="0" t="0" r="0" b="0"/>
          <wp:wrapNone/>
          <wp:docPr id="3" name="Picture 6">
            <a:extLst xmlns:a="http://schemas.openxmlformats.org/drawingml/2006/main">
              <a:ext uri="{FF2B5EF4-FFF2-40B4-BE49-F238E27FC236}">
                <a16:creationId xmlns:a16="http://schemas.microsoft.com/office/drawing/2014/main" id="{564A843E-017F-47C9-B7EC-6A9F4AA8C6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4A843E-017F-47C9-B7EC-6A9F4AA8C681}"/>
                      </a:ext>
                    </a:extLst>
                  </pic:cNvPr>
                  <pic:cNvPicPr>
                    <a:picLocks noChangeAspect="1"/>
                  </pic:cNvPicPr>
                </pic:nvPicPr>
                <pic:blipFill>
                  <a:blip r:embed="rId1"/>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r w:rsidR="004D4D9B" w:rsidRPr="004D4D9B">
      <w:rPr>
        <w:noProof/>
        <w:lang w:eastAsia="en-AU"/>
      </w:rPr>
      <w:drawing>
        <wp:anchor distT="0" distB="450215" distL="114300" distR="114300" simplePos="0" relativeHeight="251659264" behindDoc="1" locked="1" layoutInCell="1" allowOverlap="1" wp14:anchorId="00E73F36" wp14:editId="4270B98F">
          <wp:simplePos x="0" y="0"/>
          <wp:positionH relativeFrom="page">
            <wp:posOffset>1080135</wp:posOffset>
          </wp:positionH>
          <wp:positionV relativeFrom="page">
            <wp:posOffset>683895</wp:posOffset>
          </wp:positionV>
          <wp:extent cx="3834000" cy="554400"/>
          <wp:effectExtent l="0" t="0" r="0" b="0"/>
          <wp:wrapTopAndBottom/>
          <wp:docPr id="4" name="Picture 3">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2"/>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r w:rsidR="00BD0C9C" w:rsidRPr="00BD0C9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16A7F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95FA1CA6"/>
    <w:lvl w:ilvl="0">
      <w:start w:val="1"/>
      <w:numFmt w:val="decimal"/>
      <w:lvlText w:val="%1."/>
      <w:lvlJc w:val="left"/>
      <w:pPr>
        <w:ind w:left="873"/>
      </w:pPr>
      <w:rPr>
        <w:b w:val="0"/>
        <w:bCs w:val="0"/>
        <w:i w:val="0"/>
        <w:iCs w:val="0"/>
        <w:spacing w:val="0"/>
        <w:w w:val="108"/>
        <w:sz w:val="24"/>
        <w:szCs w:val="24"/>
      </w:rPr>
    </w:lvl>
    <w:lvl w:ilvl="1">
      <w:numFmt w:val="bullet"/>
      <w:lvlText w:val="•"/>
      <w:lvlJc w:val="left"/>
      <w:pPr>
        <w:ind w:left="1652"/>
      </w:pPr>
    </w:lvl>
    <w:lvl w:ilvl="2">
      <w:numFmt w:val="bullet"/>
      <w:lvlText w:val="•"/>
      <w:lvlJc w:val="left"/>
      <w:pPr>
        <w:ind w:left="2425"/>
      </w:pPr>
    </w:lvl>
    <w:lvl w:ilvl="3">
      <w:numFmt w:val="bullet"/>
      <w:lvlText w:val="•"/>
      <w:lvlJc w:val="left"/>
      <w:pPr>
        <w:ind w:left="3197"/>
      </w:pPr>
    </w:lvl>
    <w:lvl w:ilvl="4">
      <w:numFmt w:val="bullet"/>
      <w:lvlText w:val="•"/>
      <w:lvlJc w:val="left"/>
      <w:pPr>
        <w:ind w:left="3970"/>
      </w:pPr>
    </w:lvl>
    <w:lvl w:ilvl="5">
      <w:numFmt w:val="bullet"/>
      <w:lvlText w:val="•"/>
      <w:lvlJc w:val="left"/>
      <w:pPr>
        <w:ind w:left="4743"/>
      </w:pPr>
    </w:lvl>
    <w:lvl w:ilvl="6">
      <w:numFmt w:val="bullet"/>
      <w:lvlText w:val="•"/>
      <w:lvlJc w:val="left"/>
      <w:pPr>
        <w:ind w:left="5515"/>
      </w:pPr>
    </w:lvl>
    <w:lvl w:ilvl="7">
      <w:numFmt w:val="bullet"/>
      <w:lvlText w:val="•"/>
      <w:lvlJc w:val="left"/>
      <w:pPr>
        <w:ind w:left="6288"/>
      </w:pPr>
    </w:lvl>
    <w:lvl w:ilvl="8">
      <w:numFmt w:val="bullet"/>
      <w:lvlText w:val="•"/>
      <w:lvlJc w:val="left"/>
      <w:pPr>
        <w:ind w:left="7061"/>
      </w:pPr>
    </w:lvl>
  </w:abstractNum>
  <w:abstractNum w:abstractNumId="2" w15:restartNumberingAfterBreak="0">
    <w:nsid w:val="001710E2"/>
    <w:multiLevelType w:val="hybridMultilevel"/>
    <w:tmpl w:val="D5C81C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696000"/>
    <w:multiLevelType w:val="multilevel"/>
    <w:tmpl w:val="352EB714"/>
    <w:lvl w:ilvl="0">
      <w:start w:val="1"/>
      <w:numFmt w:val="decimal"/>
      <w:lvlText w:val="%1."/>
      <w:lvlJc w:val="left"/>
      <w:pPr>
        <w:ind w:left="284" w:hanging="284"/>
      </w:pPr>
      <w:rPr>
        <w:rFonts w:hint="default"/>
      </w:rPr>
    </w:lvl>
    <w:lvl w:ilvl="1">
      <w:start w:val="1"/>
      <w:numFmt w:val="lowerRoman"/>
      <w:lvlText w:val="%2."/>
      <w:lvlJc w:val="right"/>
      <w:pPr>
        <w:ind w:left="644" w:hanging="360"/>
      </w:p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4" w15:restartNumberingAfterBreak="0">
    <w:nsid w:val="04A73B59"/>
    <w:multiLevelType w:val="multilevel"/>
    <w:tmpl w:val="306A986E"/>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5" w15:restartNumberingAfterBreak="0">
    <w:nsid w:val="05FF422A"/>
    <w:multiLevelType w:val="hybridMultilevel"/>
    <w:tmpl w:val="0B76316C"/>
    <w:lvl w:ilvl="0" w:tplc="58E2573C">
      <w:start w:val="1"/>
      <w:numFmt w:val="decimal"/>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6FC2406"/>
    <w:multiLevelType w:val="hybridMultilevel"/>
    <w:tmpl w:val="3B4C5AA2"/>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84B95"/>
    <w:multiLevelType w:val="hybridMultilevel"/>
    <w:tmpl w:val="16D6506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AE5BF1"/>
    <w:multiLevelType w:val="hybridMultilevel"/>
    <w:tmpl w:val="326477BC"/>
    <w:lvl w:ilvl="0" w:tplc="0C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EC60172"/>
    <w:multiLevelType w:val="hybridMultilevel"/>
    <w:tmpl w:val="123A8FA6"/>
    <w:lvl w:ilvl="0" w:tplc="0C090019">
      <w:start w:val="1"/>
      <w:numFmt w:val="lowerLetter"/>
      <w:lvlText w:val="%1."/>
      <w:lvlJc w:val="left"/>
      <w:pPr>
        <w:ind w:left="720" w:hanging="360"/>
      </w:pPr>
    </w:lvl>
    <w:lvl w:ilvl="1" w:tplc="0C090013">
      <w:start w:val="1"/>
      <w:numFmt w:val="upp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0ED1691"/>
    <w:multiLevelType w:val="multilevel"/>
    <w:tmpl w:val="E0E0A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2A1534B"/>
    <w:multiLevelType w:val="multilevel"/>
    <w:tmpl w:val="02D64730"/>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185D6D2C"/>
    <w:multiLevelType w:val="hybridMultilevel"/>
    <w:tmpl w:val="DD466D3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8FC393B"/>
    <w:multiLevelType w:val="hybridMultilevel"/>
    <w:tmpl w:val="9EAE1A58"/>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5" w15:restartNumberingAfterBreak="0">
    <w:nsid w:val="1A415D03"/>
    <w:multiLevelType w:val="hybridMultilevel"/>
    <w:tmpl w:val="713A4B9C"/>
    <w:lvl w:ilvl="0" w:tplc="FE54AAF6">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0F11E6"/>
    <w:multiLevelType w:val="hybridMultilevel"/>
    <w:tmpl w:val="C5E8D168"/>
    <w:lvl w:ilvl="0" w:tplc="FFFFFFFF">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65633E"/>
    <w:multiLevelType w:val="hybridMultilevel"/>
    <w:tmpl w:val="FD20653A"/>
    <w:lvl w:ilvl="0" w:tplc="FFFFFFFF">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950111"/>
    <w:multiLevelType w:val="hybridMultilevel"/>
    <w:tmpl w:val="439E7EF8"/>
    <w:lvl w:ilvl="0" w:tplc="0C090017">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1E3A518E"/>
    <w:multiLevelType w:val="hybridMultilevel"/>
    <w:tmpl w:val="6062FC6C"/>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814BB1"/>
    <w:multiLevelType w:val="hybridMultilevel"/>
    <w:tmpl w:val="E25472B2"/>
    <w:lvl w:ilvl="0" w:tplc="813A178E">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307EB0"/>
    <w:multiLevelType w:val="hybridMultilevel"/>
    <w:tmpl w:val="FB3A73F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3"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24" w15:restartNumberingAfterBreak="0">
    <w:nsid w:val="29B241E9"/>
    <w:multiLevelType w:val="hybridMultilevel"/>
    <w:tmpl w:val="76C61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41723D"/>
    <w:multiLevelType w:val="hybridMultilevel"/>
    <w:tmpl w:val="DB8627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6" w15:restartNumberingAfterBreak="0">
    <w:nsid w:val="2C805494"/>
    <w:multiLevelType w:val="hybridMultilevel"/>
    <w:tmpl w:val="A56C8C46"/>
    <w:lvl w:ilvl="0" w:tplc="0C090019">
      <w:start w:val="1"/>
      <w:numFmt w:val="lowerLetter"/>
      <w:lvlText w:val="%1."/>
      <w:lvlJc w:val="left"/>
      <w:pPr>
        <w:ind w:left="1440" w:hanging="360"/>
      </w:pPr>
    </w:lvl>
    <w:lvl w:ilvl="1" w:tplc="D6C608A2">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D3A37F9"/>
    <w:multiLevelType w:val="hybridMultilevel"/>
    <w:tmpl w:val="3BA8EE3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04786B"/>
    <w:multiLevelType w:val="hybridMultilevel"/>
    <w:tmpl w:val="B8AE9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C735E0"/>
    <w:multiLevelType w:val="hybridMultilevel"/>
    <w:tmpl w:val="F12CE1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30C64A9A"/>
    <w:multiLevelType w:val="hybridMultilevel"/>
    <w:tmpl w:val="9A00572E"/>
    <w:lvl w:ilvl="0" w:tplc="0C09000F">
      <w:start w:val="1"/>
      <w:numFmt w:val="decimal"/>
      <w:lvlText w:val="%1."/>
      <w:lvlJc w:val="lef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31" w15:restartNumberingAfterBreak="0">
    <w:nsid w:val="32342215"/>
    <w:multiLevelType w:val="multilevel"/>
    <w:tmpl w:val="02D64730"/>
    <w:numStyleLink w:val="BulletsOAIC"/>
  </w:abstractNum>
  <w:abstractNum w:abstractNumId="32" w15:restartNumberingAfterBreak="0">
    <w:nsid w:val="335A3440"/>
    <w:multiLevelType w:val="hybridMultilevel"/>
    <w:tmpl w:val="058ACE5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B71539"/>
    <w:multiLevelType w:val="hybridMultilevel"/>
    <w:tmpl w:val="847C175C"/>
    <w:lvl w:ilvl="0" w:tplc="0C09001B">
      <w:start w:val="1"/>
      <w:numFmt w:val="lowerRoman"/>
      <w:lvlText w:val="%1."/>
      <w:lvlJc w:val="righ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34"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5" w15:restartNumberingAfterBreak="0">
    <w:nsid w:val="360A5BE8"/>
    <w:multiLevelType w:val="hybridMultilevel"/>
    <w:tmpl w:val="5A34CEEA"/>
    <w:lvl w:ilvl="0" w:tplc="FFFFFFFF">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627532"/>
    <w:multiLevelType w:val="hybridMultilevel"/>
    <w:tmpl w:val="B8F62844"/>
    <w:lvl w:ilvl="0" w:tplc="0C090019">
      <w:start w:val="1"/>
      <w:numFmt w:val="lowerLetter"/>
      <w:lvlText w:val="%1."/>
      <w:lvlJc w:val="left"/>
      <w:pPr>
        <w:ind w:left="720" w:hanging="360"/>
      </w:pPr>
    </w:lvl>
    <w:lvl w:ilvl="1" w:tplc="0C090013">
      <w:start w:val="1"/>
      <w:numFmt w:val="upp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A004A7B"/>
    <w:multiLevelType w:val="multilevel"/>
    <w:tmpl w:val="0EC0467E"/>
    <w:lvl w:ilvl="0">
      <w:start w:val="1"/>
      <w:numFmt w:val="decimal"/>
      <w:lvlText w:val="%1."/>
      <w:lvlJc w:val="left"/>
      <w:pPr>
        <w:ind w:left="284" w:hanging="284"/>
      </w:pPr>
      <w:rPr>
        <w:rFonts w:hint="default"/>
      </w:rPr>
    </w:lvl>
    <w:lvl w:ilvl="1">
      <w:start w:val="1"/>
      <w:numFmt w:val="decimal"/>
      <w:lvlText w:val="%2."/>
      <w:lvlJc w:val="left"/>
      <w:pPr>
        <w:ind w:left="720" w:hanging="360"/>
      </w:p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8" w15:restartNumberingAfterBreak="0">
    <w:nsid w:val="3ABF63AA"/>
    <w:multiLevelType w:val="hybridMultilevel"/>
    <w:tmpl w:val="9D1822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DB286D"/>
    <w:multiLevelType w:val="hybridMultilevel"/>
    <w:tmpl w:val="4FA0166A"/>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8A39EF"/>
    <w:multiLevelType w:val="hybridMultilevel"/>
    <w:tmpl w:val="6EFEA96C"/>
    <w:lvl w:ilvl="0" w:tplc="E67002B0">
      <w:start w:val="1"/>
      <w:numFmt w:val="decimal"/>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E8402FF"/>
    <w:multiLevelType w:val="hybridMultilevel"/>
    <w:tmpl w:val="60B09E78"/>
    <w:lvl w:ilvl="0" w:tplc="19F29E3E">
      <w:start w:val="1"/>
      <w:numFmt w:val="decimal"/>
      <w:lvlText w:val="%1."/>
      <w:lvlJc w:val="left"/>
      <w:pPr>
        <w:ind w:left="537" w:hanging="360"/>
      </w:pPr>
      <w:rPr>
        <w:rFonts w:hint="default"/>
      </w:rPr>
    </w:lvl>
    <w:lvl w:ilvl="1" w:tplc="0C090019" w:tentative="1">
      <w:start w:val="1"/>
      <w:numFmt w:val="lowerLetter"/>
      <w:lvlText w:val="%2."/>
      <w:lvlJc w:val="left"/>
      <w:pPr>
        <w:ind w:left="1257" w:hanging="360"/>
      </w:pPr>
    </w:lvl>
    <w:lvl w:ilvl="2" w:tplc="0C09001B" w:tentative="1">
      <w:start w:val="1"/>
      <w:numFmt w:val="lowerRoman"/>
      <w:lvlText w:val="%3."/>
      <w:lvlJc w:val="right"/>
      <w:pPr>
        <w:ind w:left="1977" w:hanging="180"/>
      </w:pPr>
    </w:lvl>
    <w:lvl w:ilvl="3" w:tplc="0C09000F" w:tentative="1">
      <w:start w:val="1"/>
      <w:numFmt w:val="decimal"/>
      <w:lvlText w:val="%4."/>
      <w:lvlJc w:val="left"/>
      <w:pPr>
        <w:ind w:left="2697" w:hanging="360"/>
      </w:pPr>
    </w:lvl>
    <w:lvl w:ilvl="4" w:tplc="0C090019" w:tentative="1">
      <w:start w:val="1"/>
      <w:numFmt w:val="lowerLetter"/>
      <w:lvlText w:val="%5."/>
      <w:lvlJc w:val="left"/>
      <w:pPr>
        <w:ind w:left="3417" w:hanging="360"/>
      </w:pPr>
    </w:lvl>
    <w:lvl w:ilvl="5" w:tplc="0C09001B" w:tentative="1">
      <w:start w:val="1"/>
      <w:numFmt w:val="lowerRoman"/>
      <w:lvlText w:val="%6."/>
      <w:lvlJc w:val="right"/>
      <w:pPr>
        <w:ind w:left="4137" w:hanging="180"/>
      </w:pPr>
    </w:lvl>
    <w:lvl w:ilvl="6" w:tplc="0C09000F" w:tentative="1">
      <w:start w:val="1"/>
      <w:numFmt w:val="decimal"/>
      <w:lvlText w:val="%7."/>
      <w:lvlJc w:val="left"/>
      <w:pPr>
        <w:ind w:left="4857" w:hanging="360"/>
      </w:pPr>
    </w:lvl>
    <w:lvl w:ilvl="7" w:tplc="0C090019" w:tentative="1">
      <w:start w:val="1"/>
      <w:numFmt w:val="lowerLetter"/>
      <w:lvlText w:val="%8."/>
      <w:lvlJc w:val="left"/>
      <w:pPr>
        <w:ind w:left="5577" w:hanging="360"/>
      </w:pPr>
    </w:lvl>
    <w:lvl w:ilvl="8" w:tplc="0C09001B" w:tentative="1">
      <w:start w:val="1"/>
      <w:numFmt w:val="lowerRoman"/>
      <w:lvlText w:val="%9."/>
      <w:lvlJc w:val="right"/>
      <w:pPr>
        <w:ind w:left="6297" w:hanging="180"/>
      </w:pPr>
    </w:lvl>
  </w:abstractNum>
  <w:abstractNum w:abstractNumId="42" w15:restartNumberingAfterBreak="0">
    <w:nsid w:val="3F1244B8"/>
    <w:multiLevelType w:val="hybridMultilevel"/>
    <w:tmpl w:val="3BA8EE3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FD35473"/>
    <w:multiLevelType w:val="hybridMultilevel"/>
    <w:tmpl w:val="B5760D86"/>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D51381"/>
    <w:multiLevelType w:val="multilevel"/>
    <w:tmpl w:val="D1203646"/>
    <w:numStyleLink w:val="TableNumbersOAIC"/>
  </w:abstractNum>
  <w:abstractNum w:abstractNumId="45" w15:restartNumberingAfterBreak="0">
    <w:nsid w:val="44856142"/>
    <w:multiLevelType w:val="hybridMultilevel"/>
    <w:tmpl w:val="551806E2"/>
    <w:lvl w:ilvl="0" w:tplc="C3F41AC4">
      <w:start w:val="1"/>
      <w:numFmt w:val="decimal"/>
      <w:lvlText w:val="%1."/>
      <w:lvlJc w:val="left"/>
      <w:pPr>
        <w:ind w:left="720" w:hanging="360"/>
      </w:pPr>
      <w:rPr>
        <w:rFonts w:ascii="SourceSansPro-Regular" w:hAnsi="SourceSansPro-Regular" w:cs="SourceSans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504061"/>
    <w:multiLevelType w:val="hybridMultilevel"/>
    <w:tmpl w:val="E4343F3A"/>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03347C"/>
    <w:multiLevelType w:val="hybridMultilevel"/>
    <w:tmpl w:val="B81692D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E45C10"/>
    <w:multiLevelType w:val="hybridMultilevel"/>
    <w:tmpl w:val="D34ED850"/>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49" w15:restartNumberingAfterBreak="0">
    <w:nsid w:val="495045FB"/>
    <w:multiLevelType w:val="hybridMultilevel"/>
    <w:tmpl w:val="44504404"/>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4BEC4F16"/>
    <w:multiLevelType w:val="hybridMultilevel"/>
    <w:tmpl w:val="97F03C6C"/>
    <w:lvl w:ilvl="0" w:tplc="0C09001B">
      <w:start w:val="1"/>
      <w:numFmt w:val="lowerRoman"/>
      <w:lvlText w:val="%1."/>
      <w:lvlJc w:val="right"/>
      <w:pPr>
        <w:ind w:left="1043" w:hanging="360"/>
      </w:p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51" w15:restartNumberingAfterBreak="0">
    <w:nsid w:val="4C243BF1"/>
    <w:multiLevelType w:val="hybridMultilevel"/>
    <w:tmpl w:val="8314F804"/>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8068D2"/>
    <w:multiLevelType w:val="multilevel"/>
    <w:tmpl w:val="9BBAA29A"/>
    <w:lvl w:ilvl="0">
      <w:start w:val="1"/>
      <w:numFmt w:val="decimal"/>
      <w:lvlText w:val="%1."/>
      <w:lvlJc w:val="left"/>
      <w:pPr>
        <w:ind w:left="284" w:hanging="284"/>
      </w:pPr>
      <w:rPr>
        <w:rFonts w:hint="default"/>
      </w:rPr>
    </w:lvl>
    <w:lvl w:ilvl="1">
      <w:start w:val="1"/>
      <w:numFmt w:val="decimal"/>
      <w:lvlText w:val="%2."/>
      <w:lvlJc w:val="left"/>
      <w:pPr>
        <w:ind w:left="720" w:hanging="360"/>
      </w:p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53" w15:restartNumberingAfterBreak="0">
    <w:nsid w:val="4EEA260A"/>
    <w:multiLevelType w:val="hybridMultilevel"/>
    <w:tmpl w:val="C57A5232"/>
    <w:lvl w:ilvl="0" w:tplc="0C09000F">
      <w:start w:val="1"/>
      <w:numFmt w:val="decimal"/>
      <w:lvlText w:val="%1."/>
      <w:lvlJc w:val="left"/>
      <w:pPr>
        <w:ind w:left="1386" w:hanging="360"/>
      </w:pPr>
      <w:rPr>
        <w:rFonts w:hint="default"/>
      </w:rPr>
    </w:lvl>
    <w:lvl w:ilvl="1" w:tplc="FFFFFFFF" w:tentative="1">
      <w:start w:val="1"/>
      <w:numFmt w:val="lowerLetter"/>
      <w:lvlText w:val="%2."/>
      <w:lvlJc w:val="left"/>
      <w:pPr>
        <w:ind w:left="2106" w:hanging="360"/>
      </w:pPr>
    </w:lvl>
    <w:lvl w:ilvl="2" w:tplc="FFFFFFFF" w:tentative="1">
      <w:start w:val="1"/>
      <w:numFmt w:val="lowerRoman"/>
      <w:lvlText w:val="%3."/>
      <w:lvlJc w:val="right"/>
      <w:pPr>
        <w:ind w:left="2826" w:hanging="180"/>
      </w:pPr>
    </w:lvl>
    <w:lvl w:ilvl="3" w:tplc="FFFFFFFF" w:tentative="1">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54" w15:restartNumberingAfterBreak="0">
    <w:nsid w:val="4F787BE9"/>
    <w:multiLevelType w:val="hybridMultilevel"/>
    <w:tmpl w:val="FA5078A0"/>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56"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22722C"/>
    <w:multiLevelType w:val="hybridMultilevel"/>
    <w:tmpl w:val="3BA8EE3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642EF5"/>
    <w:multiLevelType w:val="multilevel"/>
    <w:tmpl w:val="89783294"/>
    <w:numStyleLink w:val="NumberedParagraphsList"/>
  </w:abstractNum>
  <w:abstractNum w:abstractNumId="59" w15:restartNumberingAfterBreak="0">
    <w:nsid w:val="5C0B6270"/>
    <w:multiLevelType w:val="multilevel"/>
    <w:tmpl w:val="097062E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720" w:hanging="360"/>
      </w:p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60" w15:restartNumberingAfterBreak="0">
    <w:nsid w:val="5C6E3388"/>
    <w:multiLevelType w:val="hybridMultilevel"/>
    <w:tmpl w:val="569889E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912A8"/>
    <w:multiLevelType w:val="hybridMultilevel"/>
    <w:tmpl w:val="1F8A7782"/>
    <w:lvl w:ilvl="0" w:tplc="ABE861B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5E9134F8"/>
    <w:multiLevelType w:val="hybridMultilevel"/>
    <w:tmpl w:val="98F098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0881DBF"/>
    <w:multiLevelType w:val="hybridMultilevel"/>
    <w:tmpl w:val="DAD23B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0A613C7"/>
    <w:multiLevelType w:val="hybridMultilevel"/>
    <w:tmpl w:val="06902032"/>
    <w:lvl w:ilvl="0" w:tplc="0C09000F">
      <w:start w:val="1"/>
      <w:numFmt w:val="decimal"/>
      <w:lvlText w:val="%1."/>
      <w:lvlJc w:val="left"/>
      <w:pPr>
        <w:ind w:left="720" w:hanging="360"/>
      </w:pPr>
      <w:rPr>
        <w:rFonts w:hint="default"/>
        <w:sz w:val="20"/>
        <w:szCs w:val="2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FD13A9"/>
    <w:multiLevelType w:val="hybridMultilevel"/>
    <w:tmpl w:val="053C46C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1041498"/>
    <w:multiLevelType w:val="hybridMultilevel"/>
    <w:tmpl w:val="B2529826"/>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682F15"/>
    <w:multiLevelType w:val="hybridMultilevel"/>
    <w:tmpl w:val="C12A1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62F345FB"/>
    <w:multiLevelType w:val="multilevel"/>
    <w:tmpl w:val="3424A810"/>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720" w:hanging="360"/>
      </w:p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69" w15:restartNumberingAfterBreak="0">
    <w:nsid w:val="63312B32"/>
    <w:multiLevelType w:val="multilevel"/>
    <w:tmpl w:val="306A986E"/>
    <w:numStyleLink w:val="NumbersOAIC"/>
  </w:abstractNum>
  <w:abstractNum w:abstractNumId="70" w15:restartNumberingAfterBreak="0">
    <w:nsid w:val="63B90A92"/>
    <w:multiLevelType w:val="hybridMultilevel"/>
    <w:tmpl w:val="BA8ADD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1" w15:restartNumberingAfterBreak="0">
    <w:nsid w:val="63EE5E7C"/>
    <w:multiLevelType w:val="hybridMultilevel"/>
    <w:tmpl w:val="43A233A8"/>
    <w:lvl w:ilvl="0" w:tplc="78049B74">
      <w:start w:val="1"/>
      <w:numFmt w:val="decimal"/>
      <w:lvlText w:val="%1."/>
      <w:lvlJc w:val="left"/>
      <w:pPr>
        <w:ind w:left="720" w:hanging="360"/>
      </w:pPr>
      <w:rPr>
        <w:rFonts w:ascii="Source Sans Pro" w:hAnsi="Source Sans Pro" w:cs="Source Sans Pr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78B0E2F"/>
    <w:multiLevelType w:val="hybridMultilevel"/>
    <w:tmpl w:val="388CA37E"/>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372A20"/>
    <w:multiLevelType w:val="hybridMultilevel"/>
    <w:tmpl w:val="2BD4E474"/>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FA18D0"/>
    <w:multiLevelType w:val="hybridMultilevel"/>
    <w:tmpl w:val="69EE313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C68233A"/>
    <w:multiLevelType w:val="hybridMultilevel"/>
    <w:tmpl w:val="8F482A74"/>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CDD1684"/>
    <w:multiLevelType w:val="hybridMultilevel"/>
    <w:tmpl w:val="1BFE6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DE12431"/>
    <w:multiLevelType w:val="hybridMultilevel"/>
    <w:tmpl w:val="D34ED850"/>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78" w15:restartNumberingAfterBreak="0">
    <w:nsid w:val="70106945"/>
    <w:multiLevelType w:val="hybridMultilevel"/>
    <w:tmpl w:val="C12A13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7121414F"/>
    <w:multiLevelType w:val="hybridMultilevel"/>
    <w:tmpl w:val="C664A218"/>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2CA0078"/>
    <w:multiLevelType w:val="hybridMultilevel"/>
    <w:tmpl w:val="CB285AA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739564FA"/>
    <w:multiLevelType w:val="hybridMultilevel"/>
    <w:tmpl w:val="280EE54A"/>
    <w:lvl w:ilvl="0" w:tplc="0C09000F">
      <w:start w:val="1"/>
      <w:numFmt w:val="decimal"/>
      <w:lvlText w:val="%1."/>
      <w:lvlJc w:val="left"/>
      <w:pPr>
        <w:ind w:left="1386" w:hanging="360"/>
      </w:pPr>
      <w:rPr>
        <w:rFonts w:hint="default"/>
      </w:rPr>
    </w:lvl>
    <w:lvl w:ilvl="1" w:tplc="FFFFFFFF" w:tentative="1">
      <w:start w:val="1"/>
      <w:numFmt w:val="lowerLetter"/>
      <w:lvlText w:val="%2."/>
      <w:lvlJc w:val="left"/>
      <w:pPr>
        <w:ind w:left="2106" w:hanging="360"/>
      </w:pPr>
    </w:lvl>
    <w:lvl w:ilvl="2" w:tplc="FFFFFFFF" w:tentative="1">
      <w:start w:val="1"/>
      <w:numFmt w:val="lowerRoman"/>
      <w:lvlText w:val="%3."/>
      <w:lvlJc w:val="right"/>
      <w:pPr>
        <w:ind w:left="2826" w:hanging="180"/>
      </w:pPr>
    </w:lvl>
    <w:lvl w:ilvl="3" w:tplc="FFFFFFFF" w:tentative="1">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82" w15:restartNumberingAfterBreak="0">
    <w:nsid w:val="73EA2F0A"/>
    <w:multiLevelType w:val="hybridMultilevel"/>
    <w:tmpl w:val="48EC18E8"/>
    <w:lvl w:ilvl="0" w:tplc="0C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768926FA"/>
    <w:multiLevelType w:val="hybridMultilevel"/>
    <w:tmpl w:val="394689BC"/>
    <w:lvl w:ilvl="0" w:tplc="807C7B60">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0C0136"/>
    <w:multiLevelType w:val="hybridMultilevel"/>
    <w:tmpl w:val="E618E4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6" w15:restartNumberingAfterBreak="0">
    <w:nsid w:val="7C6625A2"/>
    <w:multiLevelType w:val="hybridMultilevel"/>
    <w:tmpl w:val="E0941188"/>
    <w:lvl w:ilvl="0" w:tplc="0C09000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E3B67B9"/>
    <w:multiLevelType w:val="hybridMultilevel"/>
    <w:tmpl w:val="3650E80A"/>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69886332">
    <w:abstractNumId w:val="84"/>
  </w:num>
  <w:num w:numId="2" w16cid:durableId="1635670853">
    <w:abstractNumId w:val="4"/>
  </w:num>
  <w:num w:numId="3" w16cid:durableId="823813281">
    <w:abstractNumId w:val="87"/>
  </w:num>
  <w:num w:numId="4" w16cid:durableId="1956328632">
    <w:abstractNumId w:val="22"/>
  </w:num>
  <w:num w:numId="5" w16cid:durableId="1422724655">
    <w:abstractNumId w:val="9"/>
  </w:num>
  <w:num w:numId="6" w16cid:durableId="1447040377">
    <w:abstractNumId w:val="12"/>
  </w:num>
  <w:num w:numId="7" w16cid:durableId="1699509179">
    <w:abstractNumId w:val="55"/>
  </w:num>
  <w:num w:numId="8" w16cid:durableId="1626932099">
    <w:abstractNumId w:val="44"/>
  </w:num>
  <w:num w:numId="9" w16cid:durableId="1532455186">
    <w:abstractNumId w:val="34"/>
  </w:num>
  <w:num w:numId="10" w16cid:durableId="513306424">
    <w:abstractNumId w:val="23"/>
  </w:num>
  <w:num w:numId="11" w16cid:durableId="1372463614">
    <w:abstractNumId w:val="56"/>
  </w:num>
  <w:num w:numId="12" w16cid:durableId="497620397">
    <w:abstractNumId w:val="58"/>
  </w:num>
  <w:num w:numId="13" w16cid:durableId="1775133589">
    <w:abstractNumId w:val="31"/>
  </w:num>
  <w:num w:numId="14" w16cid:durableId="1062681555">
    <w:abstractNumId w:val="69"/>
  </w:num>
  <w:num w:numId="15" w16cid:durableId="668991935">
    <w:abstractNumId w:val="28"/>
  </w:num>
  <w:num w:numId="16" w16cid:durableId="599678338">
    <w:abstractNumId w:val="24"/>
  </w:num>
  <w:num w:numId="17" w16cid:durableId="1439174640">
    <w:abstractNumId w:val="80"/>
    <w:lvlOverride w:ilvl="0"/>
    <w:lvlOverride w:ilvl="1">
      <w:startOverride w:val="1"/>
    </w:lvlOverride>
    <w:lvlOverride w:ilvl="2"/>
    <w:lvlOverride w:ilvl="3"/>
    <w:lvlOverride w:ilvl="4"/>
    <w:lvlOverride w:ilvl="5"/>
    <w:lvlOverride w:ilvl="6"/>
    <w:lvlOverride w:ilvl="7"/>
    <w:lvlOverride w:ilvl="8"/>
  </w:num>
  <w:num w:numId="18" w16cid:durableId="16334401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582991">
    <w:abstractNumId w:val="25"/>
  </w:num>
  <w:num w:numId="20" w16cid:durableId="333458074">
    <w:abstractNumId w:val="21"/>
  </w:num>
  <w:num w:numId="21" w16cid:durableId="18153726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78605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769777">
    <w:abstractNumId w:val="49"/>
  </w:num>
  <w:num w:numId="24" w16cid:durableId="147131357">
    <w:abstractNumId w:val="13"/>
    <w:lvlOverride w:ilvl="0">
      <w:startOverride w:val="1"/>
    </w:lvlOverride>
    <w:lvlOverride w:ilvl="1"/>
    <w:lvlOverride w:ilvl="2"/>
    <w:lvlOverride w:ilvl="3"/>
    <w:lvlOverride w:ilvl="4"/>
    <w:lvlOverride w:ilvl="5"/>
    <w:lvlOverride w:ilvl="6"/>
    <w:lvlOverride w:ilvl="7"/>
    <w:lvlOverride w:ilvl="8"/>
  </w:num>
  <w:num w:numId="25" w16cid:durableId="66158663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878787790">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1641378138">
    <w:abstractNumId w:val="45"/>
  </w:num>
  <w:num w:numId="28" w16cid:durableId="1357585908">
    <w:abstractNumId w:val="5"/>
  </w:num>
  <w:num w:numId="29" w16cid:durableId="855389704">
    <w:abstractNumId w:val="26"/>
  </w:num>
  <w:num w:numId="30" w16cid:durableId="435446974">
    <w:abstractNumId w:val="14"/>
  </w:num>
  <w:num w:numId="31" w16cid:durableId="1013147022">
    <w:abstractNumId w:val="18"/>
  </w:num>
  <w:num w:numId="32" w16cid:durableId="20548441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7157420">
    <w:abstractNumId w:val="29"/>
  </w:num>
  <w:num w:numId="34" w16cid:durableId="30542987">
    <w:abstractNumId w:val="69"/>
    <w:lvlOverride w:ilvl="0">
      <w:startOverride w:val="1"/>
      <w:lvl w:ilvl="0">
        <w:start w:val="1"/>
        <w:numFmt w:val="decimal"/>
        <w:pStyle w:val="ListNumber"/>
        <w:lvlText w:val="%1."/>
        <w:lvlJc w:val="left"/>
        <w:rPr>
          <w:rFonts w:asciiTheme="minorHAnsi" w:eastAsiaTheme="minorHAnsi" w:hAnsiTheme="minorHAnsi" w:cstheme="minorBidi"/>
        </w:rPr>
      </w:lvl>
    </w:lvlOverride>
    <w:lvlOverride w:ilvl="1">
      <w:startOverride w:val="1"/>
      <w:lvl w:ilvl="1">
        <w:start w:val="1"/>
        <w:numFmt w:val="lowerLetter"/>
        <w:pStyle w:val="ListNumber2"/>
        <w:lvlText w:val="%2."/>
        <w:lvlJc w:val="left"/>
        <w:pPr>
          <w:ind w:left="568" w:hanging="284"/>
        </w:pPr>
        <w:rPr>
          <w:rFonts w:hint="default"/>
          <w:bCs w:val="0"/>
        </w:rPr>
      </w:lvl>
    </w:lvlOverride>
    <w:lvlOverride w:ilvl="2">
      <w:startOverride w:val="1"/>
      <w:lvl w:ilvl="2">
        <w:start w:val="1"/>
        <w:numFmt w:val="decimal"/>
        <w:pStyle w:val="ListNumber3"/>
        <w:lvlText w:val=""/>
        <w:lvlJc w:val="left"/>
      </w:lvl>
    </w:lvlOverride>
  </w:num>
  <w:num w:numId="35" w16cid:durableId="48774423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4403650">
    <w:abstractNumId w:val="67"/>
  </w:num>
  <w:num w:numId="37" w16cid:durableId="3945054">
    <w:abstractNumId w:val="48"/>
  </w:num>
  <w:num w:numId="38" w16cid:durableId="904991246">
    <w:abstractNumId w:val="77"/>
  </w:num>
  <w:num w:numId="39" w16cid:durableId="2022584983">
    <w:abstractNumId w:val="41"/>
  </w:num>
  <w:num w:numId="40" w16cid:durableId="606812141">
    <w:abstractNumId w:val="11"/>
  </w:num>
  <w:num w:numId="41" w16cid:durableId="1370909026">
    <w:abstractNumId w:val="72"/>
  </w:num>
  <w:num w:numId="42" w16cid:durableId="478348461">
    <w:abstractNumId w:val="81"/>
  </w:num>
  <w:num w:numId="43" w16cid:durableId="2144107884">
    <w:abstractNumId w:val="53"/>
  </w:num>
  <w:num w:numId="44" w16cid:durableId="1657955558">
    <w:abstractNumId w:val="40"/>
  </w:num>
  <w:num w:numId="45" w16cid:durableId="1297025732">
    <w:abstractNumId w:val="71"/>
  </w:num>
  <w:num w:numId="46" w16cid:durableId="2021543931">
    <w:abstractNumId w:val="42"/>
  </w:num>
  <w:num w:numId="47" w16cid:durableId="2125221321">
    <w:abstractNumId w:val="27"/>
  </w:num>
  <w:num w:numId="48" w16cid:durableId="1463884827">
    <w:abstractNumId w:val="57"/>
  </w:num>
  <w:num w:numId="49" w16cid:durableId="1306933879">
    <w:abstractNumId w:val="0"/>
  </w:num>
  <w:num w:numId="50" w16cid:durableId="455954368">
    <w:abstractNumId w:val="74"/>
  </w:num>
  <w:num w:numId="51" w16cid:durableId="700253358">
    <w:abstractNumId w:val="60"/>
  </w:num>
  <w:num w:numId="52" w16cid:durableId="698353851">
    <w:abstractNumId w:val="39"/>
  </w:num>
  <w:num w:numId="53" w16cid:durableId="1001200066">
    <w:abstractNumId w:val="66"/>
  </w:num>
  <w:num w:numId="54" w16cid:durableId="1532111166">
    <w:abstractNumId w:val="54"/>
  </w:num>
  <w:num w:numId="55" w16cid:durableId="2125269916">
    <w:abstractNumId w:val="65"/>
  </w:num>
  <w:num w:numId="56" w16cid:durableId="235092604">
    <w:abstractNumId w:val="46"/>
  </w:num>
  <w:num w:numId="57" w16cid:durableId="1545629419">
    <w:abstractNumId w:val="64"/>
  </w:num>
  <w:num w:numId="58" w16cid:durableId="17244254">
    <w:abstractNumId w:val="86"/>
  </w:num>
  <w:num w:numId="59" w16cid:durableId="1355038152">
    <w:abstractNumId w:val="16"/>
  </w:num>
  <w:num w:numId="60" w16cid:durableId="1281186246">
    <w:abstractNumId w:val="51"/>
  </w:num>
  <w:num w:numId="61" w16cid:durableId="767044086">
    <w:abstractNumId w:val="79"/>
  </w:num>
  <w:num w:numId="62" w16cid:durableId="923686817">
    <w:abstractNumId w:val="73"/>
  </w:num>
  <w:num w:numId="63" w16cid:durableId="455947140">
    <w:abstractNumId w:val="17"/>
  </w:num>
  <w:num w:numId="64" w16cid:durableId="576089976">
    <w:abstractNumId w:val="6"/>
  </w:num>
  <w:num w:numId="65" w16cid:durableId="2143188551">
    <w:abstractNumId w:val="43"/>
  </w:num>
  <w:num w:numId="66" w16cid:durableId="1556509166">
    <w:abstractNumId w:val="7"/>
  </w:num>
  <w:num w:numId="67" w16cid:durableId="921179866">
    <w:abstractNumId w:val="47"/>
  </w:num>
  <w:num w:numId="68" w16cid:durableId="788859835">
    <w:abstractNumId w:val="75"/>
  </w:num>
  <w:num w:numId="69" w16cid:durableId="473910518">
    <w:abstractNumId w:val="35"/>
  </w:num>
  <w:num w:numId="70" w16cid:durableId="210307556">
    <w:abstractNumId w:val="19"/>
  </w:num>
  <w:num w:numId="71" w16cid:durableId="770782681">
    <w:abstractNumId w:val="32"/>
  </w:num>
  <w:num w:numId="72" w16cid:durableId="258953544">
    <w:abstractNumId w:val="37"/>
  </w:num>
  <w:num w:numId="73" w16cid:durableId="385642224">
    <w:abstractNumId w:val="52"/>
  </w:num>
  <w:num w:numId="74" w16cid:durableId="533006132">
    <w:abstractNumId w:val="59"/>
  </w:num>
  <w:num w:numId="75" w16cid:durableId="747579396">
    <w:abstractNumId w:val="76"/>
  </w:num>
  <w:num w:numId="76" w16cid:durableId="1774203627">
    <w:abstractNumId w:val="68"/>
  </w:num>
  <w:num w:numId="77" w16cid:durableId="51195311">
    <w:abstractNumId w:val="63"/>
  </w:num>
  <w:num w:numId="78" w16cid:durableId="1511530221">
    <w:abstractNumId w:val="30"/>
  </w:num>
  <w:num w:numId="79" w16cid:durableId="2064481757">
    <w:abstractNumId w:val="8"/>
  </w:num>
  <w:num w:numId="80" w16cid:durableId="892080132">
    <w:abstractNumId w:val="3"/>
  </w:num>
  <w:num w:numId="81" w16cid:durableId="1395738943">
    <w:abstractNumId w:val="38"/>
  </w:num>
  <w:num w:numId="82" w16cid:durableId="860362304">
    <w:abstractNumId w:val="50"/>
  </w:num>
  <w:num w:numId="83" w16cid:durableId="1602563704">
    <w:abstractNumId w:val="62"/>
  </w:num>
  <w:num w:numId="84" w16cid:durableId="401172566">
    <w:abstractNumId w:val="2"/>
  </w:num>
  <w:num w:numId="85" w16cid:durableId="1399402095">
    <w:abstractNumId w:val="82"/>
  </w:num>
  <w:num w:numId="86" w16cid:durableId="1840340558">
    <w:abstractNumId w:val="88"/>
  </w:num>
  <w:num w:numId="87" w16cid:durableId="1447844114">
    <w:abstractNumId w:val="33"/>
  </w:num>
  <w:num w:numId="88" w16cid:durableId="44527625">
    <w:abstractNumId w:val="1"/>
  </w:num>
  <w:num w:numId="89" w16cid:durableId="1264076015">
    <w:abstractNumId w:val="15"/>
  </w:num>
  <w:num w:numId="90" w16cid:durableId="88896658">
    <w:abstractNumId w:val="20"/>
  </w:num>
  <w:num w:numId="91" w16cid:durableId="1858811917">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87"/>
    <w:rsid w:val="00003276"/>
    <w:rsid w:val="00003929"/>
    <w:rsid w:val="00004A8D"/>
    <w:rsid w:val="00005974"/>
    <w:rsid w:val="00007242"/>
    <w:rsid w:val="00007404"/>
    <w:rsid w:val="00007CFC"/>
    <w:rsid w:val="0001223F"/>
    <w:rsid w:val="000129E1"/>
    <w:rsid w:val="0001377B"/>
    <w:rsid w:val="00015173"/>
    <w:rsid w:val="00017349"/>
    <w:rsid w:val="00021409"/>
    <w:rsid w:val="0002189D"/>
    <w:rsid w:val="00021F96"/>
    <w:rsid w:val="000235FD"/>
    <w:rsid w:val="000248DD"/>
    <w:rsid w:val="000251DF"/>
    <w:rsid w:val="00026AD8"/>
    <w:rsid w:val="00026E41"/>
    <w:rsid w:val="00031703"/>
    <w:rsid w:val="0003508E"/>
    <w:rsid w:val="00041593"/>
    <w:rsid w:val="0004242A"/>
    <w:rsid w:val="0004248F"/>
    <w:rsid w:val="000429E6"/>
    <w:rsid w:val="00043C6D"/>
    <w:rsid w:val="00043E5C"/>
    <w:rsid w:val="000444C4"/>
    <w:rsid w:val="0004554D"/>
    <w:rsid w:val="000457DE"/>
    <w:rsid w:val="00046973"/>
    <w:rsid w:val="0004753A"/>
    <w:rsid w:val="00047A81"/>
    <w:rsid w:val="00047D7D"/>
    <w:rsid w:val="00050845"/>
    <w:rsid w:val="00051C75"/>
    <w:rsid w:val="00054A81"/>
    <w:rsid w:val="00055300"/>
    <w:rsid w:val="0005533C"/>
    <w:rsid w:val="000554B4"/>
    <w:rsid w:val="00060090"/>
    <w:rsid w:val="00062609"/>
    <w:rsid w:val="00065BA7"/>
    <w:rsid w:val="000660FD"/>
    <w:rsid w:val="000664D4"/>
    <w:rsid w:val="00071460"/>
    <w:rsid w:val="00071E22"/>
    <w:rsid w:val="00074379"/>
    <w:rsid w:val="0007484F"/>
    <w:rsid w:val="00074CD1"/>
    <w:rsid w:val="00075483"/>
    <w:rsid w:val="00080036"/>
    <w:rsid w:val="000800BD"/>
    <w:rsid w:val="0008121B"/>
    <w:rsid w:val="00081E20"/>
    <w:rsid w:val="00083CF2"/>
    <w:rsid w:val="00084BC3"/>
    <w:rsid w:val="0008514E"/>
    <w:rsid w:val="00086369"/>
    <w:rsid w:val="00090572"/>
    <w:rsid w:val="000916CB"/>
    <w:rsid w:val="000928A1"/>
    <w:rsid w:val="00093B03"/>
    <w:rsid w:val="00093F5A"/>
    <w:rsid w:val="000950CF"/>
    <w:rsid w:val="000A002E"/>
    <w:rsid w:val="000A0941"/>
    <w:rsid w:val="000A0A19"/>
    <w:rsid w:val="000A0B4E"/>
    <w:rsid w:val="000A346E"/>
    <w:rsid w:val="000A443D"/>
    <w:rsid w:val="000A55AB"/>
    <w:rsid w:val="000A5BAF"/>
    <w:rsid w:val="000B1EAB"/>
    <w:rsid w:val="000B2663"/>
    <w:rsid w:val="000B46AF"/>
    <w:rsid w:val="000B6108"/>
    <w:rsid w:val="000B78C4"/>
    <w:rsid w:val="000C10E9"/>
    <w:rsid w:val="000C31C5"/>
    <w:rsid w:val="000C34D9"/>
    <w:rsid w:val="000C406B"/>
    <w:rsid w:val="000C4115"/>
    <w:rsid w:val="000C4A05"/>
    <w:rsid w:val="000C5C08"/>
    <w:rsid w:val="000C7FB0"/>
    <w:rsid w:val="000D269F"/>
    <w:rsid w:val="000D2EF5"/>
    <w:rsid w:val="000D318B"/>
    <w:rsid w:val="000D4336"/>
    <w:rsid w:val="000D5DC6"/>
    <w:rsid w:val="000D7A38"/>
    <w:rsid w:val="000D7EB7"/>
    <w:rsid w:val="000D7EFA"/>
    <w:rsid w:val="000E04C2"/>
    <w:rsid w:val="000E31A4"/>
    <w:rsid w:val="000E358A"/>
    <w:rsid w:val="000E4646"/>
    <w:rsid w:val="000E48B4"/>
    <w:rsid w:val="000E56D2"/>
    <w:rsid w:val="000F06F5"/>
    <w:rsid w:val="000F1A02"/>
    <w:rsid w:val="000F1B41"/>
    <w:rsid w:val="000F3D06"/>
    <w:rsid w:val="000F55B0"/>
    <w:rsid w:val="000F5B32"/>
    <w:rsid w:val="000F5CC5"/>
    <w:rsid w:val="000F60BD"/>
    <w:rsid w:val="000F75EF"/>
    <w:rsid w:val="00100B49"/>
    <w:rsid w:val="00102313"/>
    <w:rsid w:val="00104894"/>
    <w:rsid w:val="00105047"/>
    <w:rsid w:val="00105166"/>
    <w:rsid w:val="00105CEF"/>
    <w:rsid w:val="001113AD"/>
    <w:rsid w:val="00111980"/>
    <w:rsid w:val="001119FA"/>
    <w:rsid w:val="00111DB2"/>
    <w:rsid w:val="0011246D"/>
    <w:rsid w:val="001124D0"/>
    <w:rsid w:val="0011351D"/>
    <w:rsid w:val="001146F2"/>
    <w:rsid w:val="00114E9C"/>
    <w:rsid w:val="001150E2"/>
    <w:rsid w:val="0011669B"/>
    <w:rsid w:val="00116D63"/>
    <w:rsid w:val="001171CB"/>
    <w:rsid w:val="00117E0C"/>
    <w:rsid w:val="00121BF9"/>
    <w:rsid w:val="0012414F"/>
    <w:rsid w:val="00124B5E"/>
    <w:rsid w:val="00125584"/>
    <w:rsid w:val="0012689E"/>
    <w:rsid w:val="00134878"/>
    <w:rsid w:val="00134E8C"/>
    <w:rsid w:val="001364B6"/>
    <w:rsid w:val="00136DA2"/>
    <w:rsid w:val="001416C6"/>
    <w:rsid w:val="00142751"/>
    <w:rsid w:val="001438AF"/>
    <w:rsid w:val="00143F9F"/>
    <w:rsid w:val="001466FF"/>
    <w:rsid w:val="001477A6"/>
    <w:rsid w:val="001502E6"/>
    <w:rsid w:val="001505B3"/>
    <w:rsid w:val="00160B40"/>
    <w:rsid w:val="00160B52"/>
    <w:rsid w:val="001622A5"/>
    <w:rsid w:val="00162B65"/>
    <w:rsid w:val="001660E8"/>
    <w:rsid w:val="00166187"/>
    <w:rsid w:val="00166916"/>
    <w:rsid w:val="00167A5D"/>
    <w:rsid w:val="001710CA"/>
    <w:rsid w:val="001712FA"/>
    <w:rsid w:val="00171367"/>
    <w:rsid w:val="00171E96"/>
    <w:rsid w:val="00176D62"/>
    <w:rsid w:val="00177F47"/>
    <w:rsid w:val="0018034A"/>
    <w:rsid w:val="00181BA6"/>
    <w:rsid w:val="001829B5"/>
    <w:rsid w:val="001839F3"/>
    <w:rsid w:val="00184C5A"/>
    <w:rsid w:val="00184C9B"/>
    <w:rsid w:val="00185A3F"/>
    <w:rsid w:val="00186320"/>
    <w:rsid w:val="00186984"/>
    <w:rsid w:val="00186B78"/>
    <w:rsid w:val="001870D2"/>
    <w:rsid w:val="00191B0C"/>
    <w:rsid w:val="00192819"/>
    <w:rsid w:val="001947D6"/>
    <w:rsid w:val="00194AFD"/>
    <w:rsid w:val="001953F8"/>
    <w:rsid w:val="00197B06"/>
    <w:rsid w:val="001A0085"/>
    <w:rsid w:val="001A07AB"/>
    <w:rsid w:val="001A0EA1"/>
    <w:rsid w:val="001A2DD3"/>
    <w:rsid w:val="001A51DE"/>
    <w:rsid w:val="001A5380"/>
    <w:rsid w:val="001A5CE6"/>
    <w:rsid w:val="001A7241"/>
    <w:rsid w:val="001B0298"/>
    <w:rsid w:val="001B0ACA"/>
    <w:rsid w:val="001B0D40"/>
    <w:rsid w:val="001B13E7"/>
    <w:rsid w:val="001B29E9"/>
    <w:rsid w:val="001B31A8"/>
    <w:rsid w:val="001B3F33"/>
    <w:rsid w:val="001B4C99"/>
    <w:rsid w:val="001C0B8C"/>
    <w:rsid w:val="001C1932"/>
    <w:rsid w:val="001C2BE2"/>
    <w:rsid w:val="001C3437"/>
    <w:rsid w:val="001C3C31"/>
    <w:rsid w:val="001C4346"/>
    <w:rsid w:val="001C51D3"/>
    <w:rsid w:val="001C55BC"/>
    <w:rsid w:val="001C7999"/>
    <w:rsid w:val="001D226D"/>
    <w:rsid w:val="001D22F9"/>
    <w:rsid w:val="001D3B38"/>
    <w:rsid w:val="001D4824"/>
    <w:rsid w:val="001D4CEA"/>
    <w:rsid w:val="001D5594"/>
    <w:rsid w:val="001D63F4"/>
    <w:rsid w:val="001E05E0"/>
    <w:rsid w:val="001E0E0B"/>
    <w:rsid w:val="001E1162"/>
    <w:rsid w:val="001E1298"/>
    <w:rsid w:val="001E12A6"/>
    <w:rsid w:val="001E2153"/>
    <w:rsid w:val="001E3D79"/>
    <w:rsid w:val="001E3D90"/>
    <w:rsid w:val="001E556B"/>
    <w:rsid w:val="001E6E0F"/>
    <w:rsid w:val="001F0A58"/>
    <w:rsid w:val="001F11D3"/>
    <w:rsid w:val="001F1C08"/>
    <w:rsid w:val="001F1DC9"/>
    <w:rsid w:val="001F1EE8"/>
    <w:rsid w:val="001F267F"/>
    <w:rsid w:val="001F2695"/>
    <w:rsid w:val="001F27CC"/>
    <w:rsid w:val="001F29AD"/>
    <w:rsid w:val="001F3C83"/>
    <w:rsid w:val="001F4257"/>
    <w:rsid w:val="001F5AA1"/>
    <w:rsid w:val="001F66D5"/>
    <w:rsid w:val="001F724D"/>
    <w:rsid w:val="001F77CC"/>
    <w:rsid w:val="00200467"/>
    <w:rsid w:val="002011BF"/>
    <w:rsid w:val="002015B9"/>
    <w:rsid w:val="0020190B"/>
    <w:rsid w:val="00202039"/>
    <w:rsid w:val="0020253B"/>
    <w:rsid w:val="00202834"/>
    <w:rsid w:val="00202E34"/>
    <w:rsid w:val="00207961"/>
    <w:rsid w:val="00207C0E"/>
    <w:rsid w:val="00212F8C"/>
    <w:rsid w:val="002133D6"/>
    <w:rsid w:val="00213D96"/>
    <w:rsid w:val="00215E1A"/>
    <w:rsid w:val="00215E9A"/>
    <w:rsid w:val="002160FE"/>
    <w:rsid w:val="002165CA"/>
    <w:rsid w:val="00216F50"/>
    <w:rsid w:val="00220263"/>
    <w:rsid w:val="0022181F"/>
    <w:rsid w:val="002253C5"/>
    <w:rsid w:val="002264EB"/>
    <w:rsid w:val="00226B28"/>
    <w:rsid w:val="002270B2"/>
    <w:rsid w:val="00227400"/>
    <w:rsid w:val="00230642"/>
    <w:rsid w:val="0023147E"/>
    <w:rsid w:val="00232A46"/>
    <w:rsid w:val="00233F12"/>
    <w:rsid w:val="002348D9"/>
    <w:rsid w:val="00236EE4"/>
    <w:rsid w:val="00240B69"/>
    <w:rsid w:val="002410B6"/>
    <w:rsid w:val="00241D54"/>
    <w:rsid w:val="002423D6"/>
    <w:rsid w:val="0024260D"/>
    <w:rsid w:val="002439E3"/>
    <w:rsid w:val="00243D15"/>
    <w:rsid w:val="002441E0"/>
    <w:rsid w:val="00246882"/>
    <w:rsid w:val="00247EA5"/>
    <w:rsid w:val="002500E4"/>
    <w:rsid w:val="002507B8"/>
    <w:rsid w:val="00250D3C"/>
    <w:rsid w:val="00251DC3"/>
    <w:rsid w:val="002521A8"/>
    <w:rsid w:val="002523A6"/>
    <w:rsid w:val="00253CD1"/>
    <w:rsid w:val="0025428C"/>
    <w:rsid w:val="00254384"/>
    <w:rsid w:val="00256774"/>
    <w:rsid w:val="00257E0A"/>
    <w:rsid w:val="00260DB5"/>
    <w:rsid w:val="002625F2"/>
    <w:rsid w:val="00263D98"/>
    <w:rsid w:val="002641BA"/>
    <w:rsid w:val="002654D0"/>
    <w:rsid w:val="0026692D"/>
    <w:rsid w:val="00266DD3"/>
    <w:rsid w:val="00267ECE"/>
    <w:rsid w:val="00271D1D"/>
    <w:rsid w:val="00271D86"/>
    <w:rsid w:val="00272E8E"/>
    <w:rsid w:val="002734AC"/>
    <w:rsid w:val="00273E14"/>
    <w:rsid w:val="0027632A"/>
    <w:rsid w:val="002766AA"/>
    <w:rsid w:val="00276843"/>
    <w:rsid w:val="00277A19"/>
    <w:rsid w:val="00280640"/>
    <w:rsid w:val="00283019"/>
    <w:rsid w:val="0028351B"/>
    <w:rsid w:val="00283B45"/>
    <w:rsid w:val="002849A8"/>
    <w:rsid w:val="00285376"/>
    <w:rsid w:val="002863EE"/>
    <w:rsid w:val="00286CCA"/>
    <w:rsid w:val="00286E35"/>
    <w:rsid w:val="00290D93"/>
    <w:rsid w:val="0029238B"/>
    <w:rsid w:val="00293472"/>
    <w:rsid w:val="002936B5"/>
    <w:rsid w:val="00294DA2"/>
    <w:rsid w:val="002959C7"/>
    <w:rsid w:val="0029702D"/>
    <w:rsid w:val="00297C9E"/>
    <w:rsid w:val="00297D3A"/>
    <w:rsid w:val="002A0F4A"/>
    <w:rsid w:val="002A13E9"/>
    <w:rsid w:val="002B428B"/>
    <w:rsid w:val="002B5C36"/>
    <w:rsid w:val="002C25BE"/>
    <w:rsid w:val="002C2878"/>
    <w:rsid w:val="002C40E5"/>
    <w:rsid w:val="002C4284"/>
    <w:rsid w:val="002C42B6"/>
    <w:rsid w:val="002C76A7"/>
    <w:rsid w:val="002D1EC6"/>
    <w:rsid w:val="002D2001"/>
    <w:rsid w:val="002D5327"/>
    <w:rsid w:val="002D592E"/>
    <w:rsid w:val="002D67CF"/>
    <w:rsid w:val="002D79A7"/>
    <w:rsid w:val="002E4CFD"/>
    <w:rsid w:val="002E564C"/>
    <w:rsid w:val="002E585D"/>
    <w:rsid w:val="002E6082"/>
    <w:rsid w:val="002E64A5"/>
    <w:rsid w:val="002E711E"/>
    <w:rsid w:val="002E7139"/>
    <w:rsid w:val="002F1258"/>
    <w:rsid w:val="002F301F"/>
    <w:rsid w:val="002F5BF7"/>
    <w:rsid w:val="00300218"/>
    <w:rsid w:val="00302405"/>
    <w:rsid w:val="0030242C"/>
    <w:rsid w:val="00302B5A"/>
    <w:rsid w:val="00303ED8"/>
    <w:rsid w:val="00307FDC"/>
    <w:rsid w:val="00311478"/>
    <w:rsid w:val="00311816"/>
    <w:rsid w:val="00311A45"/>
    <w:rsid w:val="003129CF"/>
    <w:rsid w:val="00313E69"/>
    <w:rsid w:val="00315999"/>
    <w:rsid w:val="00315EAE"/>
    <w:rsid w:val="00316AFA"/>
    <w:rsid w:val="00316B71"/>
    <w:rsid w:val="0031701A"/>
    <w:rsid w:val="00317396"/>
    <w:rsid w:val="00317B5C"/>
    <w:rsid w:val="0032010E"/>
    <w:rsid w:val="00320CDD"/>
    <w:rsid w:val="00323662"/>
    <w:rsid w:val="00324E31"/>
    <w:rsid w:val="003262D6"/>
    <w:rsid w:val="00330482"/>
    <w:rsid w:val="0033081F"/>
    <w:rsid w:val="00333137"/>
    <w:rsid w:val="00333526"/>
    <w:rsid w:val="003338BA"/>
    <w:rsid w:val="00333C8A"/>
    <w:rsid w:val="00335255"/>
    <w:rsid w:val="003360CA"/>
    <w:rsid w:val="003362C6"/>
    <w:rsid w:val="003366E3"/>
    <w:rsid w:val="00337B96"/>
    <w:rsid w:val="00341319"/>
    <w:rsid w:val="00342EB6"/>
    <w:rsid w:val="00343E37"/>
    <w:rsid w:val="0034433C"/>
    <w:rsid w:val="00344933"/>
    <w:rsid w:val="00345F36"/>
    <w:rsid w:val="00347083"/>
    <w:rsid w:val="00350383"/>
    <w:rsid w:val="00350BCB"/>
    <w:rsid w:val="0035142A"/>
    <w:rsid w:val="003523CF"/>
    <w:rsid w:val="00352B9D"/>
    <w:rsid w:val="00353742"/>
    <w:rsid w:val="003538C9"/>
    <w:rsid w:val="00355750"/>
    <w:rsid w:val="0035741F"/>
    <w:rsid w:val="00360C46"/>
    <w:rsid w:val="00360E79"/>
    <w:rsid w:val="00360FEE"/>
    <w:rsid w:val="00361647"/>
    <w:rsid w:val="0036213C"/>
    <w:rsid w:val="00362321"/>
    <w:rsid w:val="0036443F"/>
    <w:rsid w:val="0036486D"/>
    <w:rsid w:val="00365520"/>
    <w:rsid w:val="00366B5C"/>
    <w:rsid w:val="00367110"/>
    <w:rsid w:val="003674A9"/>
    <w:rsid w:val="003708F2"/>
    <w:rsid w:val="00370AA6"/>
    <w:rsid w:val="00372985"/>
    <w:rsid w:val="003730C1"/>
    <w:rsid w:val="0037381F"/>
    <w:rsid w:val="00374466"/>
    <w:rsid w:val="0037474C"/>
    <w:rsid w:val="00380805"/>
    <w:rsid w:val="003828E0"/>
    <w:rsid w:val="003830F4"/>
    <w:rsid w:val="0038352B"/>
    <w:rsid w:val="003836B6"/>
    <w:rsid w:val="003846FB"/>
    <w:rsid w:val="003852D5"/>
    <w:rsid w:val="0038546D"/>
    <w:rsid w:val="00385DC0"/>
    <w:rsid w:val="00386432"/>
    <w:rsid w:val="0039012F"/>
    <w:rsid w:val="00391109"/>
    <w:rsid w:val="00391879"/>
    <w:rsid w:val="00391C33"/>
    <w:rsid w:val="00392224"/>
    <w:rsid w:val="003929D2"/>
    <w:rsid w:val="00392E37"/>
    <w:rsid w:val="0039354F"/>
    <w:rsid w:val="0039450D"/>
    <w:rsid w:val="00394516"/>
    <w:rsid w:val="00394671"/>
    <w:rsid w:val="00394D69"/>
    <w:rsid w:val="00394DCA"/>
    <w:rsid w:val="00394DF3"/>
    <w:rsid w:val="003A0617"/>
    <w:rsid w:val="003A59A6"/>
    <w:rsid w:val="003A5CAE"/>
    <w:rsid w:val="003B131D"/>
    <w:rsid w:val="003B2CAE"/>
    <w:rsid w:val="003B404A"/>
    <w:rsid w:val="003B41D3"/>
    <w:rsid w:val="003B5241"/>
    <w:rsid w:val="003B5247"/>
    <w:rsid w:val="003B62A1"/>
    <w:rsid w:val="003B6E92"/>
    <w:rsid w:val="003B734A"/>
    <w:rsid w:val="003C05A4"/>
    <w:rsid w:val="003C16AF"/>
    <w:rsid w:val="003C23AB"/>
    <w:rsid w:val="003C25E0"/>
    <w:rsid w:val="003C34FA"/>
    <w:rsid w:val="003C41B4"/>
    <w:rsid w:val="003C5248"/>
    <w:rsid w:val="003C6162"/>
    <w:rsid w:val="003C67F1"/>
    <w:rsid w:val="003C71B8"/>
    <w:rsid w:val="003D131F"/>
    <w:rsid w:val="003D23A2"/>
    <w:rsid w:val="003D5107"/>
    <w:rsid w:val="003E01CA"/>
    <w:rsid w:val="003E06B6"/>
    <w:rsid w:val="003E14BA"/>
    <w:rsid w:val="003E2396"/>
    <w:rsid w:val="003E33D6"/>
    <w:rsid w:val="003E3F49"/>
    <w:rsid w:val="003E5AE9"/>
    <w:rsid w:val="003E75E5"/>
    <w:rsid w:val="003E77EE"/>
    <w:rsid w:val="003F1592"/>
    <w:rsid w:val="003F24AD"/>
    <w:rsid w:val="003F2D9A"/>
    <w:rsid w:val="003F31E6"/>
    <w:rsid w:val="003F40AD"/>
    <w:rsid w:val="003F6042"/>
    <w:rsid w:val="003F6284"/>
    <w:rsid w:val="00400802"/>
    <w:rsid w:val="00400EAE"/>
    <w:rsid w:val="00404B07"/>
    <w:rsid w:val="00406034"/>
    <w:rsid w:val="00407FDF"/>
    <w:rsid w:val="00407FF3"/>
    <w:rsid w:val="00415B1E"/>
    <w:rsid w:val="00415D98"/>
    <w:rsid w:val="00415F4F"/>
    <w:rsid w:val="00420D0C"/>
    <w:rsid w:val="00420F91"/>
    <w:rsid w:val="00422C31"/>
    <w:rsid w:val="00422EDA"/>
    <w:rsid w:val="004233F1"/>
    <w:rsid w:val="00423426"/>
    <w:rsid w:val="0042363B"/>
    <w:rsid w:val="004240AA"/>
    <w:rsid w:val="004247A4"/>
    <w:rsid w:val="00425FAB"/>
    <w:rsid w:val="0042720B"/>
    <w:rsid w:val="0043053B"/>
    <w:rsid w:val="0043119D"/>
    <w:rsid w:val="00431A4E"/>
    <w:rsid w:val="0043283A"/>
    <w:rsid w:val="00434782"/>
    <w:rsid w:val="00435922"/>
    <w:rsid w:val="00436060"/>
    <w:rsid w:val="0043720D"/>
    <w:rsid w:val="004401D0"/>
    <w:rsid w:val="00440A36"/>
    <w:rsid w:val="00440DDD"/>
    <w:rsid w:val="00441B13"/>
    <w:rsid w:val="0044243B"/>
    <w:rsid w:val="00444406"/>
    <w:rsid w:val="00444722"/>
    <w:rsid w:val="004457EA"/>
    <w:rsid w:val="00446219"/>
    <w:rsid w:val="00447122"/>
    <w:rsid w:val="0044739A"/>
    <w:rsid w:val="0044748A"/>
    <w:rsid w:val="004479EC"/>
    <w:rsid w:val="00447D14"/>
    <w:rsid w:val="00447DE6"/>
    <w:rsid w:val="004548DC"/>
    <w:rsid w:val="00455FAB"/>
    <w:rsid w:val="00456CB5"/>
    <w:rsid w:val="00457984"/>
    <w:rsid w:val="00460F16"/>
    <w:rsid w:val="00461F47"/>
    <w:rsid w:val="00467455"/>
    <w:rsid w:val="00470AA9"/>
    <w:rsid w:val="00473113"/>
    <w:rsid w:val="00473DE3"/>
    <w:rsid w:val="00474FF5"/>
    <w:rsid w:val="00475DD9"/>
    <w:rsid w:val="004766E3"/>
    <w:rsid w:val="00476F98"/>
    <w:rsid w:val="004816F6"/>
    <w:rsid w:val="00481C54"/>
    <w:rsid w:val="00482506"/>
    <w:rsid w:val="004836AB"/>
    <w:rsid w:val="00483AC3"/>
    <w:rsid w:val="00483C51"/>
    <w:rsid w:val="0048405C"/>
    <w:rsid w:val="00485B78"/>
    <w:rsid w:val="00487486"/>
    <w:rsid w:val="00487875"/>
    <w:rsid w:val="00490880"/>
    <w:rsid w:val="00490DDB"/>
    <w:rsid w:val="00490F5F"/>
    <w:rsid w:val="0049119F"/>
    <w:rsid w:val="00492BC5"/>
    <w:rsid w:val="0049372D"/>
    <w:rsid w:val="00495A66"/>
    <w:rsid w:val="004967AF"/>
    <w:rsid w:val="0049692E"/>
    <w:rsid w:val="00497562"/>
    <w:rsid w:val="00497864"/>
    <w:rsid w:val="004A08A6"/>
    <w:rsid w:val="004A1CBE"/>
    <w:rsid w:val="004A4DCC"/>
    <w:rsid w:val="004B33F0"/>
    <w:rsid w:val="004B4E6A"/>
    <w:rsid w:val="004B566D"/>
    <w:rsid w:val="004B7FB4"/>
    <w:rsid w:val="004C17C1"/>
    <w:rsid w:val="004C1F5A"/>
    <w:rsid w:val="004C224C"/>
    <w:rsid w:val="004C2E94"/>
    <w:rsid w:val="004C33FC"/>
    <w:rsid w:val="004C35BD"/>
    <w:rsid w:val="004C51FD"/>
    <w:rsid w:val="004C5590"/>
    <w:rsid w:val="004C58D6"/>
    <w:rsid w:val="004C60A5"/>
    <w:rsid w:val="004C7156"/>
    <w:rsid w:val="004D09B5"/>
    <w:rsid w:val="004D117A"/>
    <w:rsid w:val="004D16A5"/>
    <w:rsid w:val="004D336F"/>
    <w:rsid w:val="004D3E69"/>
    <w:rsid w:val="004D3E79"/>
    <w:rsid w:val="004D44EB"/>
    <w:rsid w:val="004D4D9B"/>
    <w:rsid w:val="004D6831"/>
    <w:rsid w:val="004D6EF4"/>
    <w:rsid w:val="004D732C"/>
    <w:rsid w:val="004E02B2"/>
    <w:rsid w:val="004E1A19"/>
    <w:rsid w:val="004E1BD5"/>
    <w:rsid w:val="004E1F1B"/>
    <w:rsid w:val="004E254F"/>
    <w:rsid w:val="004E44F1"/>
    <w:rsid w:val="004E4791"/>
    <w:rsid w:val="004E72EA"/>
    <w:rsid w:val="004F0FD9"/>
    <w:rsid w:val="004F2495"/>
    <w:rsid w:val="004F275B"/>
    <w:rsid w:val="004F2931"/>
    <w:rsid w:val="004F37B0"/>
    <w:rsid w:val="004F496B"/>
    <w:rsid w:val="004F4C09"/>
    <w:rsid w:val="004F542E"/>
    <w:rsid w:val="004F63D4"/>
    <w:rsid w:val="004F6D55"/>
    <w:rsid w:val="004F709A"/>
    <w:rsid w:val="00500137"/>
    <w:rsid w:val="005005B1"/>
    <w:rsid w:val="00500A49"/>
    <w:rsid w:val="00500AD1"/>
    <w:rsid w:val="0050188C"/>
    <w:rsid w:val="00502080"/>
    <w:rsid w:val="0050216F"/>
    <w:rsid w:val="0050222F"/>
    <w:rsid w:val="00502328"/>
    <w:rsid w:val="00503156"/>
    <w:rsid w:val="0050346C"/>
    <w:rsid w:val="00503840"/>
    <w:rsid w:val="00504035"/>
    <w:rsid w:val="00504714"/>
    <w:rsid w:val="00504CE0"/>
    <w:rsid w:val="00505242"/>
    <w:rsid w:val="0050568F"/>
    <w:rsid w:val="005070A7"/>
    <w:rsid w:val="005104EA"/>
    <w:rsid w:val="00510AA1"/>
    <w:rsid w:val="0051255A"/>
    <w:rsid w:val="00512E0C"/>
    <w:rsid w:val="00514262"/>
    <w:rsid w:val="00514562"/>
    <w:rsid w:val="00517828"/>
    <w:rsid w:val="00517BE4"/>
    <w:rsid w:val="0052093C"/>
    <w:rsid w:val="005213C8"/>
    <w:rsid w:val="00522B24"/>
    <w:rsid w:val="00522FAE"/>
    <w:rsid w:val="00525DFC"/>
    <w:rsid w:val="00530DDB"/>
    <w:rsid w:val="00531D1F"/>
    <w:rsid w:val="00533108"/>
    <w:rsid w:val="0053458C"/>
    <w:rsid w:val="00534D9A"/>
    <w:rsid w:val="005351B4"/>
    <w:rsid w:val="00535EB8"/>
    <w:rsid w:val="0054133E"/>
    <w:rsid w:val="0054324A"/>
    <w:rsid w:val="00543646"/>
    <w:rsid w:val="00543B99"/>
    <w:rsid w:val="00544034"/>
    <w:rsid w:val="005450A9"/>
    <w:rsid w:val="00545149"/>
    <w:rsid w:val="00546D81"/>
    <w:rsid w:val="00546EE6"/>
    <w:rsid w:val="00550767"/>
    <w:rsid w:val="00550E67"/>
    <w:rsid w:val="00552807"/>
    <w:rsid w:val="00555DE2"/>
    <w:rsid w:val="005574ED"/>
    <w:rsid w:val="005576FF"/>
    <w:rsid w:val="00557BEE"/>
    <w:rsid w:val="00560781"/>
    <w:rsid w:val="00560FE3"/>
    <w:rsid w:val="005618A4"/>
    <w:rsid w:val="00561EC3"/>
    <w:rsid w:val="005634DF"/>
    <w:rsid w:val="00563902"/>
    <w:rsid w:val="00564129"/>
    <w:rsid w:val="00564971"/>
    <w:rsid w:val="00567E44"/>
    <w:rsid w:val="005703A8"/>
    <w:rsid w:val="005704C9"/>
    <w:rsid w:val="0057100E"/>
    <w:rsid w:val="00571DED"/>
    <w:rsid w:val="005729F1"/>
    <w:rsid w:val="00573A69"/>
    <w:rsid w:val="00573D51"/>
    <w:rsid w:val="0057483C"/>
    <w:rsid w:val="00574AF9"/>
    <w:rsid w:val="00575D7E"/>
    <w:rsid w:val="00576FE8"/>
    <w:rsid w:val="00580264"/>
    <w:rsid w:val="0058037C"/>
    <w:rsid w:val="00580D19"/>
    <w:rsid w:val="00581646"/>
    <w:rsid w:val="00583478"/>
    <w:rsid w:val="005843F4"/>
    <w:rsid w:val="00584B4A"/>
    <w:rsid w:val="00584DA6"/>
    <w:rsid w:val="00585E58"/>
    <w:rsid w:val="00586874"/>
    <w:rsid w:val="00591D32"/>
    <w:rsid w:val="00591E8C"/>
    <w:rsid w:val="00591F24"/>
    <w:rsid w:val="00591F4D"/>
    <w:rsid w:val="00595099"/>
    <w:rsid w:val="005953F4"/>
    <w:rsid w:val="005956E9"/>
    <w:rsid w:val="00595C92"/>
    <w:rsid w:val="00596832"/>
    <w:rsid w:val="00596FCD"/>
    <w:rsid w:val="00597AAA"/>
    <w:rsid w:val="005A14AD"/>
    <w:rsid w:val="005A20EE"/>
    <w:rsid w:val="005A4E93"/>
    <w:rsid w:val="005A50F9"/>
    <w:rsid w:val="005A6FCF"/>
    <w:rsid w:val="005B028C"/>
    <w:rsid w:val="005B268E"/>
    <w:rsid w:val="005B2F18"/>
    <w:rsid w:val="005B34FB"/>
    <w:rsid w:val="005B7B30"/>
    <w:rsid w:val="005C05D1"/>
    <w:rsid w:val="005C06A7"/>
    <w:rsid w:val="005C0937"/>
    <w:rsid w:val="005C54EC"/>
    <w:rsid w:val="005D04A0"/>
    <w:rsid w:val="005D24D6"/>
    <w:rsid w:val="005D29FA"/>
    <w:rsid w:val="005D3F23"/>
    <w:rsid w:val="005D40A5"/>
    <w:rsid w:val="005D47BE"/>
    <w:rsid w:val="005D50F3"/>
    <w:rsid w:val="005D6543"/>
    <w:rsid w:val="005D6992"/>
    <w:rsid w:val="005D6C84"/>
    <w:rsid w:val="005D6F0D"/>
    <w:rsid w:val="005D7BE9"/>
    <w:rsid w:val="005E0783"/>
    <w:rsid w:val="005E1828"/>
    <w:rsid w:val="005E23B8"/>
    <w:rsid w:val="005E2E2F"/>
    <w:rsid w:val="005E34FB"/>
    <w:rsid w:val="005E43B6"/>
    <w:rsid w:val="005E7B8A"/>
    <w:rsid w:val="005F1094"/>
    <w:rsid w:val="005F1ABB"/>
    <w:rsid w:val="005F28D3"/>
    <w:rsid w:val="005F3FCD"/>
    <w:rsid w:val="005F5EF6"/>
    <w:rsid w:val="005F6939"/>
    <w:rsid w:val="005F77A7"/>
    <w:rsid w:val="00600F39"/>
    <w:rsid w:val="006017A7"/>
    <w:rsid w:val="00601AF0"/>
    <w:rsid w:val="006029CD"/>
    <w:rsid w:val="00602FA6"/>
    <w:rsid w:val="00602FDE"/>
    <w:rsid w:val="00605744"/>
    <w:rsid w:val="00607020"/>
    <w:rsid w:val="00610722"/>
    <w:rsid w:val="00611F8D"/>
    <w:rsid w:val="00613ACA"/>
    <w:rsid w:val="00613F21"/>
    <w:rsid w:val="00614227"/>
    <w:rsid w:val="00615093"/>
    <w:rsid w:val="006150F1"/>
    <w:rsid w:val="00615616"/>
    <w:rsid w:val="00620129"/>
    <w:rsid w:val="006205B0"/>
    <w:rsid w:val="00620FF1"/>
    <w:rsid w:val="006211F8"/>
    <w:rsid w:val="0062147C"/>
    <w:rsid w:val="00623589"/>
    <w:rsid w:val="00625508"/>
    <w:rsid w:val="006267EF"/>
    <w:rsid w:val="00630E30"/>
    <w:rsid w:val="00631D37"/>
    <w:rsid w:val="006322DE"/>
    <w:rsid w:val="00632AE4"/>
    <w:rsid w:val="00632E02"/>
    <w:rsid w:val="006335FC"/>
    <w:rsid w:val="00633D6F"/>
    <w:rsid w:val="00635802"/>
    <w:rsid w:val="0064242F"/>
    <w:rsid w:val="006435D4"/>
    <w:rsid w:val="00643B48"/>
    <w:rsid w:val="00643C30"/>
    <w:rsid w:val="00643EC5"/>
    <w:rsid w:val="00644EB4"/>
    <w:rsid w:val="006456A9"/>
    <w:rsid w:val="00646A19"/>
    <w:rsid w:val="00646C25"/>
    <w:rsid w:val="006476B3"/>
    <w:rsid w:val="00651FD4"/>
    <w:rsid w:val="006554CD"/>
    <w:rsid w:val="00655902"/>
    <w:rsid w:val="00656AEF"/>
    <w:rsid w:val="006609B8"/>
    <w:rsid w:val="00661FAC"/>
    <w:rsid w:val="006622E7"/>
    <w:rsid w:val="00664A40"/>
    <w:rsid w:val="00664DF5"/>
    <w:rsid w:val="0066599D"/>
    <w:rsid w:val="0066710B"/>
    <w:rsid w:val="0066756D"/>
    <w:rsid w:val="006709CC"/>
    <w:rsid w:val="00670F41"/>
    <w:rsid w:val="00671F97"/>
    <w:rsid w:val="00672C31"/>
    <w:rsid w:val="00672C57"/>
    <w:rsid w:val="00672F30"/>
    <w:rsid w:val="00672FB6"/>
    <w:rsid w:val="00677013"/>
    <w:rsid w:val="00677138"/>
    <w:rsid w:val="006803C7"/>
    <w:rsid w:val="00680AE8"/>
    <w:rsid w:val="00683A70"/>
    <w:rsid w:val="00684572"/>
    <w:rsid w:val="00684F0B"/>
    <w:rsid w:val="00685C91"/>
    <w:rsid w:val="006866F0"/>
    <w:rsid w:val="0069144C"/>
    <w:rsid w:val="006915CE"/>
    <w:rsid w:val="00695E0C"/>
    <w:rsid w:val="00696587"/>
    <w:rsid w:val="006966F9"/>
    <w:rsid w:val="006A1BDF"/>
    <w:rsid w:val="006A32B2"/>
    <w:rsid w:val="006A6A3C"/>
    <w:rsid w:val="006B03E4"/>
    <w:rsid w:val="006B0953"/>
    <w:rsid w:val="006B4198"/>
    <w:rsid w:val="006B56B7"/>
    <w:rsid w:val="006C15D6"/>
    <w:rsid w:val="006C3B0B"/>
    <w:rsid w:val="006C3BFF"/>
    <w:rsid w:val="006C43E2"/>
    <w:rsid w:val="006C4E86"/>
    <w:rsid w:val="006C5195"/>
    <w:rsid w:val="006C5FCA"/>
    <w:rsid w:val="006C66AE"/>
    <w:rsid w:val="006C7258"/>
    <w:rsid w:val="006C7D17"/>
    <w:rsid w:val="006D0719"/>
    <w:rsid w:val="006D0AA9"/>
    <w:rsid w:val="006D1CEB"/>
    <w:rsid w:val="006D27EE"/>
    <w:rsid w:val="006D350B"/>
    <w:rsid w:val="006D5685"/>
    <w:rsid w:val="006D61A6"/>
    <w:rsid w:val="006D7056"/>
    <w:rsid w:val="006D7885"/>
    <w:rsid w:val="006E13C1"/>
    <w:rsid w:val="006E18E0"/>
    <w:rsid w:val="006E48FE"/>
    <w:rsid w:val="006E4F02"/>
    <w:rsid w:val="006E4F2A"/>
    <w:rsid w:val="006E5229"/>
    <w:rsid w:val="006E692A"/>
    <w:rsid w:val="006E7F1A"/>
    <w:rsid w:val="006F0893"/>
    <w:rsid w:val="006F3A8D"/>
    <w:rsid w:val="006F52A5"/>
    <w:rsid w:val="006F577C"/>
    <w:rsid w:val="006F5854"/>
    <w:rsid w:val="006F64F8"/>
    <w:rsid w:val="006F6614"/>
    <w:rsid w:val="006F7D47"/>
    <w:rsid w:val="007035AE"/>
    <w:rsid w:val="0070442B"/>
    <w:rsid w:val="0070498D"/>
    <w:rsid w:val="00704F83"/>
    <w:rsid w:val="00705902"/>
    <w:rsid w:val="00710609"/>
    <w:rsid w:val="00715D2F"/>
    <w:rsid w:val="00716328"/>
    <w:rsid w:val="00716C37"/>
    <w:rsid w:val="00717C85"/>
    <w:rsid w:val="007200A8"/>
    <w:rsid w:val="00720131"/>
    <w:rsid w:val="00721F99"/>
    <w:rsid w:val="007224F1"/>
    <w:rsid w:val="00722889"/>
    <w:rsid w:val="007230D4"/>
    <w:rsid w:val="00723100"/>
    <w:rsid w:val="00724D83"/>
    <w:rsid w:val="00726598"/>
    <w:rsid w:val="0073137D"/>
    <w:rsid w:val="00733573"/>
    <w:rsid w:val="0073449B"/>
    <w:rsid w:val="0073541B"/>
    <w:rsid w:val="00735D44"/>
    <w:rsid w:val="0074102D"/>
    <w:rsid w:val="0074130B"/>
    <w:rsid w:val="00743750"/>
    <w:rsid w:val="00745D08"/>
    <w:rsid w:val="0074651D"/>
    <w:rsid w:val="00746D9F"/>
    <w:rsid w:val="00746FA7"/>
    <w:rsid w:val="00746FB8"/>
    <w:rsid w:val="0074701D"/>
    <w:rsid w:val="00747059"/>
    <w:rsid w:val="0074719F"/>
    <w:rsid w:val="0074750D"/>
    <w:rsid w:val="00747A36"/>
    <w:rsid w:val="00750C27"/>
    <w:rsid w:val="00750C45"/>
    <w:rsid w:val="007512E0"/>
    <w:rsid w:val="00752902"/>
    <w:rsid w:val="00753224"/>
    <w:rsid w:val="0075424A"/>
    <w:rsid w:val="0075456D"/>
    <w:rsid w:val="00757ABC"/>
    <w:rsid w:val="00761B31"/>
    <w:rsid w:val="00765023"/>
    <w:rsid w:val="00765DFF"/>
    <w:rsid w:val="007661E5"/>
    <w:rsid w:val="007663CC"/>
    <w:rsid w:val="00767535"/>
    <w:rsid w:val="0077106C"/>
    <w:rsid w:val="0077198B"/>
    <w:rsid w:val="007722F5"/>
    <w:rsid w:val="0077298D"/>
    <w:rsid w:val="0077490C"/>
    <w:rsid w:val="00776295"/>
    <w:rsid w:val="00776585"/>
    <w:rsid w:val="007806BB"/>
    <w:rsid w:val="00781026"/>
    <w:rsid w:val="00782D12"/>
    <w:rsid w:val="00784138"/>
    <w:rsid w:val="007841E8"/>
    <w:rsid w:val="00784CFA"/>
    <w:rsid w:val="007865C0"/>
    <w:rsid w:val="007874F8"/>
    <w:rsid w:val="00787531"/>
    <w:rsid w:val="00790CBF"/>
    <w:rsid w:val="00790F42"/>
    <w:rsid w:val="00790F88"/>
    <w:rsid w:val="00791C6F"/>
    <w:rsid w:val="00791E11"/>
    <w:rsid w:val="007929FA"/>
    <w:rsid w:val="00793D6C"/>
    <w:rsid w:val="007945FA"/>
    <w:rsid w:val="00794DCB"/>
    <w:rsid w:val="00795503"/>
    <w:rsid w:val="00795B46"/>
    <w:rsid w:val="00796616"/>
    <w:rsid w:val="007A13D3"/>
    <w:rsid w:val="007A33AF"/>
    <w:rsid w:val="007A6EEB"/>
    <w:rsid w:val="007B042C"/>
    <w:rsid w:val="007B1235"/>
    <w:rsid w:val="007B2C2B"/>
    <w:rsid w:val="007B591B"/>
    <w:rsid w:val="007C217E"/>
    <w:rsid w:val="007C28A2"/>
    <w:rsid w:val="007C2F2C"/>
    <w:rsid w:val="007D171E"/>
    <w:rsid w:val="007D374C"/>
    <w:rsid w:val="007D3932"/>
    <w:rsid w:val="007D5FDE"/>
    <w:rsid w:val="007D6331"/>
    <w:rsid w:val="007D7CB5"/>
    <w:rsid w:val="007E0052"/>
    <w:rsid w:val="007E01DF"/>
    <w:rsid w:val="007E028C"/>
    <w:rsid w:val="007E2303"/>
    <w:rsid w:val="007E476D"/>
    <w:rsid w:val="007E4D1C"/>
    <w:rsid w:val="007E53DF"/>
    <w:rsid w:val="007E54DA"/>
    <w:rsid w:val="007E6B6F"/>
    <w:rsid w:val="007E6E98"/>
    <w:rsid w:val="007E724B"/>
    <w:rsid w:val="007F0EE0"/>
    <w:rsid w:val="007F16FD"/>
    <w:rsid w:val="007F211F"/>
    <w:rsid w:val="007F2AB2"/>
    <w:rsid w:val="007F39A5"/>
    <w:rsid w:val="007F4261"/>
    <w:rsid w:val="007F4498"/>
    <w:rsid w:val="007F713D"/>
    <w:rsid w:val="007F71DB"/>
    <w:rsid w:val="008006A1"/>
    <w:rsid w:val="00801315"/>
    <w:rsid w:val="008014B1"/>
    <w:rsid w:val="0080171D"/>
    <w:rsid w:val="008038C9"/>
    <w:rsid w:val="008039C7"/>
    <w:rsid w:val="0080553C"/>
    <w:rsid w:val="00807CE6"/>
    <w:rsid w:val="008100CB"/>
    <w:rsid w:val="00810D82"/>
    <w:rsid w:val="00811462"/>
    <w:rsid w:val="008125AE"/>
    <w:rsid w:val="00816883"/>
    <w:rsid w:val="00816D02"/>
    <w:rsid w:val="0081752A"/>
    <w:rsid w:val="0081775A"/>
    <w:rsid w:val="00817B83"/>
    <w:rsid w:val="008203FB"/>
    <w:rsid w:val="0082073D"/>
    <w:rsid w:val="0082127F"/>
    <w:rsid w:val="0082154C"/>
    <w:rsid w:val="00821581"/>
    <w:rsid w:val="00823E0D"/>
    <w:rsid w:val="0082444A"/>
    <w:rsid w:val="008249AF"/>
    <w:rsid w:val="00824D8A"/>
    <w:rsid w:val="00825106"/>
    <w:rsid w:val="00825F5D"/>
    <w:rsid w:val="00832031"/>
    <w:rsid w:val="0083220D"/>
    <w:rsid w:val="00832736"/>
    <w:rsid w:val="00834D0A"/>
    <w:rsid w:val="0083675A"/>
    <w:rsid w:val="00837326"/>
    <w:rsid w:val="00837D57"/>
    <w:rsid w:val="008412AA"/>
    <w:rsid w:val="00841D30"/>
    <w:rsid w:val="008421A9"/>
    <w:rsid w:val="00844077"/>
    <w:rsid w:val="00846583"/>
    <w:rsid w:val="008502AC"/>
    <w:rsid w:val="00850587"/>
    <w:rsid w:val="008521E0"/>
    <w:rsid w:val="008521FC"/>
    <w:rsid w:val="008527B0"/>
    <w:rsid w:val="00852E5D"/>
    <w:rsid w:val="008530D8"/>
    <w:rsid w:val="008532FF"/>
    <w:rsid w:val="00853A34"/>
    <w:rsid w:val="00854349"/>
    <w:rsid w:val="0085452E"/>
    <w:rsid w:val="00855A1F"/>
    <w:rsid w:val="008578C1"/>
    <w:rsid w:val="0086062E"/>
    <w:rsid w:val="00860BCF"/>
    <w:rsid w:val="00860F9C"/>
    <w:rsid w:val="008636F1"/>
    <w:rsid w:val="00865AF1"/>
    <w:rsid w:val="00865B95"/>
    <w:rsid w:val="008662ED"/>
    <w:rsid w:val="008669F2"/>
    <w:rsid w:val="00867C89"/>
    <w:rsid w:val="00873377"/>
    <w:rsid w:val="00873F4E"/>
    <w:rsid w:val="0087422B"/>
    <w:rsid w:val="00874722"/>
    <w:rsid w:val="00875887"/>
    <w:rsid w:val="00875B38"/>
    <w:rsid w:val="0087642F"/>
    <w:rsid w:val="00880713"/>
    <w:rsid w:val="0088309B"/>
    <w:rsid w:val="008833E8"/>
    <w:rsid w:val="00884421"/>
    <w:rsid w:val="00884E1F"/>
    <w:rsid w:val="00887506"/>
    <w:rsid w:val="008876CB"/>
    <w:rsid w:val="00890384"/>
    <w:rsid w:val="008933D0"/>
    <w:rsid w:val="0089434F"/>
    <w:rsid w:val="008964B9"/>
    <w:rsid w:val="008967D5"/>
    <w:rsid w:val="00896DDE"/>
    <w:rsid w:val="008A3B36"/>
    <w:rsid w:val="008A4874"/>
    <w:rsid w:val="008B04FA"/>
    <w:rsid w:val="008B3132"/>
    <w:rsid w:val="008B35F9"/>
    <w:rsid w:val="008B6380"/>
    <w:rsid w:val="008B7FD3"/>
    <w:rsid w:val="008C071A"/>
    <w:rsid w:val="008C0C98"/>
    <w:rsid w:val="008C337E"/>
    <w:rsid w:val="008C339D"/>
    <w:rsid w:val="008C39CE"/>
    <w:rsid w:val="008C620B"/>
    <w:rsid w:val="008C7521"/>
    <w:rsid w:val="008C7AE5"/>
    <w:rsid w:val="008C7F05"/>
    <w:rsid w:val="008D00A9"/>
    <w:rsid w:val="008D02DD"/>
    <w:rsid w:val="008D0C89"/>
    <w:rsid w:val="008D10E4"/>
    <w:rsid w:val="008D2610"/>
    <w:rsid w:val="008D2962"/>
    <w:rsid w:val="008D335C"/>
    <w:rsid w:val="008D375E"/>
    <w:rsid w:val="008D4827"/>
    <w:rsid w:val="008D56E8"/>
    <w:rsid w:val="008D63C3"/>
    <w:rsid w:val="008D7C8D"/>
    <w:rsid w:val="008E02A0"/>
    <w:rsid w:val="008E0E7F"/>
    <w:rsid w:val="008E23BF"/>
    <w:rsid w:val="008E3F43"/>
    <w:rsid w:val="008E4B9C"/>
    <w:rsid w:val="008E55A0"/>
    <w:rsid w:val="008E56AF"/>
    <w:rsid w:val="008E66F8"/>
    <w:rsid w:val="008F0127"/>
    <w:rsid w:val="008F0AF3"/>
    <w:rsid w:val="008F13BD"/>
    <w:rsid w:val="008F1657"/>
    <w:rsid w:val="008F25D0"/>
    <w:rsid w:val="008F3D9B"/>
    <w:rsid w:val="008F4404"/>
    <w:rsid w:val="008F4BA0"/>
    <w:rsid w:val="008F756A"/>
    <w:rsid w:val="00900653"/>
    <w:rsid w:val="0090069F"/>
    <w:rsid w:val="009018DC"/>
    <w:rsid w:val="009022F8"/>
    <w:rsid w:val="009049B8"/>
    <w:rsid w:val="0090523D"/>
    <w:rsid w:val="0090617A"/>
    <w:rsid w:val="0090652C"/>
    <w:rsid w:val="00910988"/>
    <w:rsid w:val="00910EB4"/>
    <w:rsid w:val="009118D1"/>
    <w:rsid w:val="00912EE8"/>
    <w:rsid w:val="00913B1A"/>
    <w:rsid w:val="009147E1"/>
    <w:rsid w:val="00914FF9"/>
    <w:rsid w:val="00915548"/>
    <w:rsid w:val="00915F49"/>
    <w:rsid w:val="00916546"/>
    <w:rsid w:val="009174CD"/>
    <w:rsid w:val="00917624"/>
    <w:rsid w:val="009208A8"/>
    <w:rsid w:val="00921E72"/>
    <w:rsid w:val="00922141"/>
    <w:rsid w:val="0092408B"/>
    <w:rsid w:val="00924105"/>
    <w:rsid w:val="00924F11"/>
    <w:rsid w:val="0092542C"/>
    <w:rsid w:val="0092650A"/>
    <w:rsid w:val="00926560"/>
    <w:rsid w:val="00927AB8"/>
    <w:rsid w:val="009313BF"/>
    <w:rsid w:val="00933630"/>
    <w:rsid w:val="00934951"/>
    <w:rsid w:val="00936949"/>
    <w:rsid w:val="009370B7"/>
    <w:rsid w:val="009372EC"/>
    <w:rsid w:val="00937962"/>
    <w:rsid w:val="00937E0B"/>
    <w:rsid w:val="009402FD"/>
    <w:rsid w:val="00940831"/>
    <w:rsid w:val="00941125"/>
    <w:rsid w:val="00941DBD"/>
    <w:rsid w:val="0094331A"/>
    <w:rsid w:val="00944703"/>
    <w:rsid w:val="00944745"/>
    <w:rsid w:val="009452FC"/>
    <w:rsid w:val="0094531B"/>
    <w:rsid w:val="00945706"/>
    <w:rsid w:val="0094640E"/>
    <w:rsid w:val="00946EDD"/>
    <w:rsid w:val="0094702A"/>
    <w:rsid w:val="00950DA9"/>
    <w:rsid w:val="00951C8B"/>
    <w:rsid w:val="009527FD"/>
    <w:rsid w:val="00953B69"/>
    <w:rsid w:val="00954840"/>
    <w:rsid w:val="009548CA"/>
    <w:rsid w:val="00955C9E"/>
    <w:rsid w:val="00956229"/>
    <w:rsid w:val="00957160"/>
    <w:rsid w:val="00957F54"/>
    <w:rsid w:val="00961433"/>
    <w:rsid w:val="00964839"/>
    <w:rsid w:val="0096589D"/>
    <w:rsid w:val="009665E4"/>
    <w:rsid w:val="00966C25"/>
    <w:rsid w:val="00966F1D"/>
    <w:rsid w:val="009673F6"/>
    <w:rsid w:val="00971A4E"/>
    <w:rsid w:val="00972A2B"/>
    <w:rsid w:val="00973C73"/>
    <w:rsid w:val="009803BB"/>
    <w:rsid w:val="00982F29"/>
    <w:rsid w:val="00983D0A"/>
    <w:rsid w:val="0098580D"/>
    <w:rsid w:val="00985F38"/>
    <w:rsid w:val="00986744"/>
    <w:rsid w:val="009867AC"/>
    <w:rsid w:val="0098746C"/>
    <w:rsid w:val="00990073"/>
    <w:rsid w:val="00991313"/>
    <w:rsid w:val="00992B2D"/>
    <w:rsid w:val="00992D81"/>
    <w:rsid w:val="00992E20"/>
    <w:rsid w:val="00992FDB"/>
    <w:rsid w:val="00995C6F"/>
    <w:rsid w:val="009961F6"/>
    <w:rsid w:val="0099669C"/>
    <w:rsid w:val="009A01AB"/>
    <w:rsid w:val="009A065F"/>
    <w:rsid w:val="009A06F5"/>
    <w:rsid w:val="009A0DBC"/>
    <w:rsid w:val="009A120D"/>
    <w:rsid w:val="009A163A"/>
    <w:rsid w:val="009A3076"/>
    <w:rsid w:val="009A31B5"/>
    <w:rsid w:val="009A3F2B"/>
    <w:rsid w:val="009A4DA0"/>
    <w:rsid w:val="009A4F21"/>
    <w:rsid w:val="009A52A4"/>
    <w:rsid w:val="009A732D"/>
    <w:rsid w:val="009A76C2"/>
    <w:rsid w:val="009B0C24"/>
    <w:rsid w:val="009B276F"/>
    <w:rsid w:val="009B4B80"/>
    <w:rsid w:val="009B4EDD"/>
    <w:rsid w:val="009B5958"/>
    <w:rsid w:val="009C2550"/>
    <w:rsid w:val="009C40CA"/>
    <w:rsid w:val="009C575E"/>
    <w:rsid w:val="009C72FB"/>
    <w:rsid w:val="009C797B"/>
    <w:rsid w:val="009C7C76"/>
    <w:rsid w:val="009D1510"/>
    <w:rsid w:val="009D3CC1"/>
    <w:rsid w:val="009D745B"/>
    <w:rsid w:val="009E551C"/>
    <w:rsid w:val="009E5E3D"/>
    <w:rsid w:val="009E73F1"/>
    <w:rsid w:val="009F005A"/>
    <w:rsid w:val="009F0763"/>
    <w:rsid w:val="009F0A04"/>
    <w:rsid w:val="009F0C43"/>
    <w:rsid w:val="009F1DF8"/>
    <w:rsid w:val="009F345F"/>
    <w:rsid w:val="009F4053"/>
    <w:rsid w:val="009F4370"/>
    <w:rsid w:val="009F476E"/>
    <w:rsid w:val="009F5FF4"/>
    <w:rsid w:val="009F66AB"/>
    <w:rsid w:val="009F7853"/>
    <w:rsid w:val="00A0089B"/>
    <w:rsid w:val="00A01177"/>
    <w:rsid w:val="00A0176D"/>
    <w:rsid w:val="00A031B8"/>
    <w:rsid w:val="00A04792"/>
    <w:rsid w:val="00A04ED2"/>
    <w:rsid w:val="00A05DDD"/>
    <w:rsid w:val="00A06A98"/>
    <w:rsid w:val="00A07605"/>
    <w:rsid w:val="00A07607"/>
    <w:rsid w:val="00A1106A"/>
    <w:rsid w:val="00A1122D"/>
    <w:rsid w:val="00A1341F"/>
    <w:rsid w:val="00A1447A"/>
    <w:rsid w:val="00A16373"/>
    <w:rsid w:val="00A16A91"/>
    <w:rsid w:val="00A16F36"/>
    <w:rsid w:val="00A20417"/>
    <w:rsid w:val="00A218D4"/>
    <w:rsid w:val="00A22195"/>
    <w:rsid w:val="00A22777"/>
    <w:rsid w:val="00A22DB1"/>
    <w:rsid w:val="00A22F58"/>
    <w:rsid w:val="00A25F72"/>
    <w:rsid w:val="00A27090"/>
    <w:rsid w:val="00A27A1B"/>
    <w:rsid w:val="00A301DF"/>
    <w:rsid w:val="00A30AEE"/>
    <w:rsid w:val="00A31DC7"/>
    <w:rsid w:val="00A3318D"/>
    <w:rsid w:val="00A33228"/>
    <w:rsid w:val="00A33BED"/>
    <w:rsid w:val="00A353DE"/>
    <w:rsid w:val="00A35859"/>
    <w:rsid w:val="00A3669A"/>
    <w:rsid w:val="00A36AB9"/>
    <w:rsid w:val="00A37FC2"/>
    <w:rsid w:val="00A42461"/>
    <w:rsid w:val="00A434B6"/>
    <w:rsid w:val="00A45501"/>
    <w:rsid w:val="00A4642E"/>
    <w:rsid w:val="00A51387"/>
    <w:rsid w:val="00A51906"/>
    <w:rsid w:val="00A522D3"/>
    <w:rsid w:val="00A5275F"/>
    <w:rsid w:val="00A52F78"/>
    <w:rsid w:val="00A53B35"/>
    <w:rsid w:val="00A54FCC"/>
    <w:rsid w:val="00A55211"/>
    <w:rsid w:val="00A5548C"/>
    <w:rsid w:val="00A56E13"/>
    <w:rsid w:val="00A625BA"/>
    <w:rsid w:val="00A6284F"/>
    <w:rsid w:val="00A64EED"/>
    <w:rsid w:val="00A652EE"/>
    <w:rsid w:val="00A659F8"/>
    <w:rsid w:val="00A65BB5"/>
    <w:rsid w:val="00A65CA8"/>
    <w:rsid w:val="00A67DB3"/>
    <w:rsid w:val="00A70D7A"/>
    <w:rsid w:val="00A72E0C"/>
    <w:rsid w:val="00A73D97"/>
    <w:rsid w:val="00A7654A"/>
    <w:rsid w:val="00A76820"/>
    <w:rsid w:val="00A77145"/>
    <w:rsid w:val="00A81F6B"/>
    <w:rsid w:val="00A81FFB"/>
    <w:rsid w:val="00A83988"/>
    <w:rsid w:val="00A84BDA"/>
    <w:rsid w:val="00A85B00"/>
    <w:rsid w:val="00A87CF0"/>
    <w:rsid w:val="00A90760"/>
    <w:rsid w:val="00A90B4A"/>
    <w:rsid w:val="00A91AAE"/>
    <w:rsid w:val="00A91B00"/>
    <w:rsid w:val="00A91B29"/>
    <w:rsid w:val="00A91B73"/>
    <w:rsid w:val="00A92E97"/>
    <w:rsid w:val="00A93054"/>
    <w:rsid w:val="00A9531B"/>
    <w:rsid w:val="00A9559E"/>
    <w:rsid w:val="00A95688"/>
    <w:rsid w:val="00A963FB"/>
    <w:rsid w:val="00A970B9"/>
    <w:rsid w:val="00A97FEC"/>
    <w:rsid w:val="00AA0162"/>
    <w:rsid w:val="00AA2818"/>
    <w:rsid w:val="00AA29D0"/>
    <w:rsid w:val="00AA2A68"/>
    <w:rsid w:val="00AA2C80"/>
    <w:rsid w:val="00AA2D51"/>
    <w:rsid w:val="00AA3B3E"/>
    <w:rsid w:val="00AA5C4D"/>
    <w:rsid w:val="00AA6592"/>
    <w:rsid w:val="00AA6A7F"/>
    <w:rsid w:val="00AB1BDB"/>
    <w:rsid w:val="00AB1F31"/>
    <w:rsid w:val="00AB2E91"/>
    <w:rsid w:val="00AB5674"/>
    <w:rsid w:val="00AB5978"/>
    <w:rsid w:val="00AB7834"/>
    <w:rsid w:val="00AB7DAA"/>
    <w:rsid w:val="00AC34C6"/>
    <w:rsid w:val="00AC52BE"/>
    <w:rsid w:val="00AC616A"/>
    <w:rsid w:val="00AC741E"/>
    <w:rsid w:val="00AD1FDD"/>
    <w:rsid w:val="00AD51D3"/>
    <w:rsid w:val="00AD6121"/>
    <w:rsid w:val="00AD6BEA"/>
    <w:rsid w:val="00AD7CD5"/>
    <w:rsid w:val="00AE027A"/>
    <w:rsid w:val="00AE1C9B"/>
    <w:rsid w:val="00AE1D42"/>
    <w:rsid w:val="00AE27F0"/>
    <w:rsid w:val="00AE2DE1"/>
    <w:rsid w:val="00AE2F7A"/>
    <w:rsid w:val="00AE327A"/>
    <w:rsid w:val="00AE351A"/>
    <w:rsid w:val="00AE3CA0"/>
    <w:rsid w:val="00AE43DF"/>
    <w:rsid w:val="00AE6376"/>
    <w:rsid w:val="00AE668C"/>
    <w:rsid w:val="00AE69C0"/>
    <w:rsid w:val="00AE76B3"/>
    <w:rsid w:val="00AE773E"/>
    <w:rsid w:val="00AE7E1A"/>
    <w:rsid w:val="00AE7F9C"/>
    <w:rsid w:val="00AF1055"/>
    <w:rsid w:val="00AF1587"/>
    <w:rsid w:val="00AF1F42"/>
    <w:rsid w:val="00AF3690"/>
    <w:rsid w:val="00AF3D14"/>
    <w:rsid w:val="00AF4C28"/>
    <w:rsid w:val="00AF5F91"/>
    <w:rsid w:val="00B00132"/>
    <w:rsid w:val="00B00219"/>
    <w:rsid w:val="00B01144"/>
    <w:rsid w:val="00B01D87"/>
    <w:rsid w:val="00B03248"/>
    <w:rsid w:val="00B04870"/>
    <w:rsid w:val="00B05441"/>
    <w:rsid w:val="00B05876"/>
    <w:rsid w:val="00B07067"/>
    <w:rsid w:val="00B075CD"/>
    <w:rsid w:val="00B12520"/>
    <w:rsid w:val="00B12E18"/>
    <w:rsid w:val="00B13561"/>
    <w:rsid w:val="00B13AB2"/>
    <w:rsid w:val="00B146AA"/>
    <w:rsid w:val="00B15BD3"/>
    <w:rsid w:val="00B1695B"/>
    <w:rsid w:val="00B1732D"/>
    <w:rsid w:val="00B1752A"/>
    <w:rsid w:val="00B23B94"/>
    <w:rsid w:val="00B250AC"/>
    <w:rsid w:val="00B27317"/>
    <w:rsid w:val="00B277F7"/>
    <w:rsid w:val="00B2792B"/>
    <w:rsid w:val="00B27B15"/>
    <w:rsid w:val="00B3054C"/>
    <w:rsid w:val="00B31CFA"/>
    <w:rsid w:val="00B32EF0"/>
    <w:rsid w:val="00B37286"/>
    <w:rsid w:val="00B4123A"/>
    <w:rsid w:val="00B46F1D"/>
    <w:rsid w:val="00B51F48"/>
    <w:rsid w:val="00B522F1"/>
    <w:rsid w:val="00B537CA"/>
    <w:rsid w:val="00B54097"/>
    <w:rsid w:val="00B5798F"/>
    <w:rsid w:val="00B619ED"/>
    <w:rsid w:val="00B629B1"/>
    <w:rsid w:val="00B62A19"/>
    <w:rsid w:val="00B62DD4"/>
    <w:rsid w:val="00B6582A"/>
    <w:rsid w:val="00B65EAB"/>
    <w:rsid w:val="00B672D7"/>
    <w:rsid w:val="00B7153B"/>
    <w:rsid w:val="00B71B09"/>
    <w:rsid w:val="00B72EFF"/>
    <w:rsid w:val="00B74824"/>
    <w:rsid w:val="00B75B6F"/>
    <w:rsid w:val="00B764A4"/>
    <w:rsid w:val="00B77A4A"/>
    <w:rsid w:val="00B77E74"/>
    <w:rsid w:val="00B85239"/>
    <w:rsid w:val="00B85D45"/>
    <w:rsid w:val="00B85FFB"/>
    <w:rsid w:val="00B865BD"/>
    <w:rsid w:val="00B86F73"/>
    <w:rsid w:val="00B87700"/>
    <w:rsid w:val="00B87AC3"/>
    <w:rsid w:val="00B90C6E"/>
    <w:rsid w:val="00B90E52"/>
    <w:rsid w:val="00B91EBD"/>
    <w:rsid w:val="00B92461"/>
    <w:rsid w:val="00B92A8A"/>
    <w:rsid w:val="00B957C3"/>
    <w:rsid w:val="00B9616F"/>
    <w:rsid w:val="00B972BE"/>
    <w:rsid w:val="00BA1F4B"/>
    <w:rsid w:val="00BA289B"/>
    <w:rsid w:val="00BA28D9"/>
    <w:rsid w:val="00BA4DD7"/>
    <w:rsid w:val="00BA5DBA"/>
    <w:rsid w:val="00BA5E45"/>
    <w:rsid w:val="00BA6164"/>
    <w:rsid w:val="00BA6173"/>
    <w:rsid w:val="00BA7BED"/>
    <w:rsid w:val="00BB2496"/>
    <w:rsid w:val="00BB26B3"/>
    <w:rsid w:val="00BB27C2"/>
    <w:rsid w:val="00BB2EF8"/>
    <w:rsid w:val="00BB2F25"/>
    <w:rsid w:val="00BB4D0C"/>
    <w:rsid w:val="00BB5FF5"/>
    <w:rsid w:val="00BB69E9"/>
    <w:rsid w:val="00BB6C87"/>
    <w:rsid w:val="00BB7963"/>
    <w:rsid w:val="00BC193D"/>
    <w:rsid w:val="00BC2F8A"/>
    <w:rsid w:val="00BC32D2"/>
    <w:rsid w:val="00BC3B49"/>
    <w:rsid w:val="00BC3EB0"/>
    <w:rsid w:val="00BD0667"/>
    <w:rsid w:val="00BD0C9C"/>
    <w:rsid w:val="00BD1613"/>
    <w:rsid w:val="00BD38C9"/>
    <w:rsid w:val="00BD390D"/>
    <w:rsid w:val="00BD3CB0"/>
    <w:rsid w:val="00BD3FCC"/>
    <w:rsid w:val="00BE0369"/>
    <w:rsid w:val="00BE07DF"/>
    <w:rsid w:val="00BE110D"/>
    <w:rsid w:val="00BE1F92"/>
    <w:rsid w:val="00BE205F"/>
    <w:rsid w:val="00BE2CAE"/>
    <w:rsid w:val="00BE362C"/>
    <w:rsid w:val="00BE3B45"/>
    <w:rsid w:val="00BE49D8"/>
    <w:rsid w:val="00BE573F"/>
    <w:rsid w:val="00BE6D0D"/>
    <w:rsid w:val="00BF0AEB"/>
    <w:rsid w:val="00BF35A4"/>
    <w:rsid w:val="00BF387A"/>
    <w:rsid w:val="00BF3C20"/>
    <w:rsid w:val="00BF4561"/>
    <w:rsid w:val="00BF549F"/>
    <w:rsid w:val="00BF6DB1"/>
    <w:rsid w:val="00BF7355"/>
    <w:rsid w:val="00BF7F26"/>
    <w:rsid w:val="00BF7F30"/>
    <w:rsid w:val="00C01281"/>
    <w:rsid w:val="00C025E3"/>
    <w:rsid w:val="00C039FB"/>
    <w:rsid w:val="00C03ED8"/>
    <w:rsid w:val="00C04EAB"/>
    <w:rsid w:val="00C05A67"/>
    <w:rsid w:val="00C0701F"/>
    <w:rsid w:val="00C11028"/>
    <w:rsid w:val="00C119FC"/>
    <w:rsid w:val="00C12916"/>
    <w:rsid w:val="00C12959"/>
    <w:rsid w:val="00C13419"/>
    <w:rsid w:val="00C15206"/>
    <w:rsid w:val="00C1734D"/>
    <w:rsid w:val="00C17B23"/>
    <w:rsid w:val="00C2144D"/>
    <w:rsid w:val="00C21DAC"/>
    <w:rsid w:val="00C21ECF"/>
    <w:rsid w:val="00C23ACA"/>
    <w:rsid w:val="00C24276"/>
    <w:rsid w:val="00C253BC"/>
    <w:rsid w:val="00C25803"/>
    <w:rsid w:val="00C26B54"/>
    <w:rsid w:val="00C27DD5"/>
    <w:rsid w:val="00C32F3A"/>
    <w:rsid w:val="00C32F74"/>
    <w:rsid w:val="00C348FD"/>
    <w:rsid w:val="00C352B3"/>
    <w:rsid w:val="00C35EAC"/>
    <w:rsid w:val="00C35F07"/>
    <w:rsid w:val="00C3631B"/>
    <w:rsid w:val="00C36AEC"/>
    <w:rsid w:val="00C36ED0"/>
    <w:rsid w:val="00C401A0"/>
    <w:rsid w:val="00C41579"/>
    <w:rsid w:val="00C445EB"/>
    <w:rsid w:val="00C44681"/>
    <w:rsid w:val="00C45859"/>
    <w:rsid w:val="00C46B45"/>
    <w:rsid w:val="00C472F9"/>
    <w:rsid w:val="00C52484"/>
    <w:rsid w:val="00C52664"/>
    <w:rsid w:val="00C54D3D"/>
    <w:rsid w:val="00C568FE"/>
    <w:rsid w:val="00C62445"/>
    <w:rsid w:val="00C6336F"/>
    <w:rsid w:val="00C70C72"/>
    <w:rsid w:val="00C723E6"/>
    <w:rsid w:val="00C72515"/>
    <w:rsid w:val="00C72975"/>
    <w:rsid w:val="00C750B0"/>
    <w:rsid w:val="00C776F6"/>
    <w:rsid w:val="00C77A94"/>
    <w:rsid w:val="00C81A7B"/>
    <w:rsid w:val="00C871FF"/>
    <w:rsid w:val="00C9000C"/>
    <w:rsid w:val="00C90400"/>
    <w:rsid w:val="00C90482"/>
    <w:rsid w:val="00C91AA5"/>
    <w:rsid w:val="00C922B6"/>
    <w:rsid w:val="00C92965"/>
    <w:rsid w:val="00C934C6"/>
    <w:rsid w:val="00C945BB"/>
    <w:rsid w:val="00C956BF"/>
    <w:rsid w:val="00C96AA9"/>
    <w:rsid w:val="00CA0593"/>
    <w:rsid w:val="00CA06F2"/>
    <w:rsid w:val="00CA0762"/>
    <w:rsid w:val="00CA1046"/>
    <w:rsid w:val="00CA12C4"/>
    <w:rsid w:val="00CA1425"/>
    <w:rsid w:val="00CA15AF"/>
    <w:rsid w:val="00CA1D12"/>
    <w:rsid w:val="00CA1FEB"/>
    <w:rsid w:val="00CA305F"/>
    <w:rsid w:val="00CA362D"/>
    <w:rsid w:val="00CA3720"/>
    <w:rsid w:val="00CA46B5"/>
    <w:rsid w:val="00CA596F"/>
    <w:rsid w:val="00CA5E69"/>
    <w:rsid w:val="00CA6B2D"/>
    <w:rsid w:val="00CA7343"/>
    <w:rsid w:val="00CA7D1B"/>
    <w:rsid w:val="00CB0393"/>
    <w:rsid w:val="00CB10A7"/>
    <w:rsid w:val="00CB1598"/>
    <w:rsid w:val="00CB1CCC"/>
    <w:rsid w:val="00CB1FC3"/>
    <w:rsid w:val="00CB2D1B"/>
    <w:rsid w:val="00CB3EF0"/>
    <w:rsid w:val="00CB5224"/>
    <w:rsid w:val="00CB6557"/>
    <w:rsid w:val="00CB67BE"/>
    <w:rsid w:val="00CB698E"/>
    <w:rsid w:val="00CB7DB7"/>
    <w:rsid w:val="00CC0E1D"/>
    <w:rsid w:val="00CC2CAE"/>
    <w:rsid w:val="00CC365A"/>
    <w:rsid w:val="00CC60BA"/>
    <w:rsid w:val="00CC7950"/>
    <w:rsid w:val="00CC7EC1"/>
    <w:rsid w:val="00CD09AC"/>
    <w:rsid w:val="00CD2C94"/>
    <w:rsid w:val="00CD331C"/>
    <w:rsid w:val="00CD3484"/>
    <w:rsid w:val="00CD3584"/>
    <w:rsid w:val="00CD36ED"/>
    <w:rsid w:val="00CD44B0"/>
    <w:rsid w:val="00CD5B6A"/>
    <w:rsid w:val="00CD6527"/>
    <w:rsid w:val="00CD78C3"/>
    <w:rsid w:val="00CD7983"/>
    <w:rsid w:val="00CD7C57"/>
    <w:rsid w:val="00CE01C8"/>
    <w:rsid w:val="00CE15E5"/>
    <w:rsid w:val="00CE31F7"/>
    <w:rsid w:val="00CE5F33"/>
    <w:rsid w:val="00CF2B6F"/>
    <w:rsid w:val="00CF3AD7"/>
    <w:rsid w:val="00CF4CCF"/>
    <w:rsid w:val="00CF6F3D"/>
    <w:rsid w:val="00D00F8E"/>
    <w:rsid w:val="00D02859"/>
    <w:rsid w:val="00D02AC2"/>
    <w:rsid w:val="00D0312E"/>
    <w:rsid w:val="00D033E7"/>
    <w:rsid w:val="00D040D1"/>
    <w:rsid w:val="00D044F8"/>
    <w:rsid w:val="00D0793B"/>
    <w:rsid w:val="00D10083"/>
    <w:rsid w:val="00D10432"/>
    <w:rsid w:val="00D10766"/>
    <w:rsid w:val="00D113AF"/>
    <w:rsid w:val="00D130A2"/>
    <w:rsid w:val="00D14447"/>
    <w:rsid w:val="00D14536"/>
    <w:rsid w:val="00D14AFC"/>
    <w:rsid w:val="00D1570F"/>
    <w:rsid w:val="00D16125"/>
    <w:rsid w:val="00D2003F"/>
    <w:rsid w:val="00D227D4"/>
    <w:rsid w:val="00D23FB7"/>
    <w:rsid w:val="00D26517"/>
    <w:rsid w:val="00D3083F"/>
    <w:rsid w:val="00D31543"/>
    <w:rsid w:val="00D32A5C"/>
    <w:rsid w:val="00D3511D"/>
    <w:rsid w:val="00D35E75"/>
    <w:rsid w:val="00D37052"/>
    <w:rsid w:val="00D373EA"/>
    <w:rsid w:val="00D3797B"/>
    <w:rsid w:val="00D37B96"/>
    <w:rsid w:val="00D40A7A"/>
    <w:rsid w:val="00D40D86"/>
    <w:rsid w:val="00D450AD"/>
    <w:rsid w:val="00D46575"/>
    <w:rsid w:val="00D4690C"/>
    <w:rsid w:val="00D51E09"/>
    <w:rsid w:val="00D52006"/>
    <w:rsid w:val="00D52B01"/>
    <w:rsid w:val="00D5401D"/>
    <w:rsid w:val="00D5483C"/>
    <w:rsid w:val="00D57531"/>
    <w:rsid w:val="00D57D38"/>
    <w:rsid w:val="00D607D5"/>
    <w:rsid w:val="00D60E69"/>
    <w:rsid w:val="00D6126E"/>
    <w:rsid w:val="00D6152B"/>
    <w:rsid w:val="00D63D86"/>
    <w:rsid w:val="00D66EBF"/>
    <w:rsid w:val="00D66F3F"/>
    <w:rsid w:val="00D6722A"/>
    <w:rsid w:val="00D67E83"/>
    <w:rsid w:val="00D74FB9"/>
    <w:rsid w:val="00D75401"/>
    <w:rsid w:val="00D75AC2"/>
    <w:rsid w:val="00D8165A"/>
    <w:rsid w:val="00D82664"/>
    <w:rsid w:val="00D82843"/>
    <w:rsid w:val="00D84D56"/>
    <w:rsid w:val="00D86B9F"/>
    <w:rsid w:val="00D8726A"/>
    <w:rsid w:val="00D902F2"/>
    <w:rsid w:val="00D911F7"/>
    <w:rsid w:val="00D927D6"/>
    <w:rsid w:val="00D93DE7"/>
    <w:rsid w:val="00D93E7C"/>
    <w:rsid w:val="00D94668"/>
    <w:rsid w:val="00D96093"/>
    <w:rsid w:val="00DA18BC"/>
    <w:rsid w:val="00DA1B8A"/>
    <w:rsid w:val="00DA3561"/>
    <w:rsid w:val="00DA3DE0"/>
    <w:rsid w:val="00DA5433"/>
    <w:rsid w:val="00DB1FC7"/>
    <w:rsid w:val="00DB272A"/>
    <w:rsid w:val="00DB448F"/>
    <w:rsid w:val="00DB69BE"/>
    <w:rsid w:val="00DC05A5"/>
    <w:rsid w:val="00DC2F89"/>
    <w:rsid w:val="00DC497A"/>
    <w:rsid w:val="00DC62D2"/>
    <w:rsid w:val="00DC789B"/>
    <w:rsid w:val="00DC78A9"/>
    <w:rsid w:val="00DD0BB2"/>
    <w:rsid w:val="00DD2711"/>
    <w:rsid w:val="00DD32D7"/>
    <w:rsid w:val="00DD5CFE"/>
    <w:rsid w:val="00DD619E"/>
    <w:rsid w:val="00DD6B1F"/>
    <w:rsid w:val="00DD7EFB"/>
    <w:rsid w:val="00DE0563"/>
    <w:rsid w:val="00DE0C93"/>
    <w:rsid w:val="00DE22F9"/>
    <w:rsid w:val="00DE3317"/>
    <w:rsid w:val="00DE3521"/>
    <w:rsid w:val="00DE38A9"/>
    <w:rsid w:val="00DE44CA"/>
    <w:rsid w:val="00DE4FCB"/>
    <w:rsid w:val="00DE50C6"/>
    <w:rsid w:val="00DE512D"/>
    <w:rsid w:val="00DE541C"/>
    <w:rsid w:val="00DE5E70"/>
    <w:rsid w:val="00DE69DC"/>
    <w:rsid w:val="00DE7097"/>
    <w:rsid w:val="00DE7A4B"/>
    <w:rsid w:val="00DF0E45"/>
    <w:rsid w:val="00DF11FE"/>
    <w:rsid w:val="00DF2A58"/>
    <w:rsid w:val="00DF3360"/>
    <w:rsid w:val="00DF3769"/>
    <w:rsid w:val="00DF5698"/>
    <w:rsid w:val="00DF7272"/>
    <w:rsid w:val="00E029AC"/>
    <w:rsid w:val="00E035E7"/>
    <w:rsid w:val="00E037C8"/>
    <w:rsid w:val="00E0389B"/>
    <w:rsid w:val="00E0396B"/>
    <w:rsid w:val="00E04C1A"/>
    <w:rsid w:val="00E0503E"/>
    <w:rsid w:val="00E05563"/>
    <w:rsid w:val="00E0566E"/>
    <w:rsid w:val="00E06277"/>
    <w:rsid w:val="00E10431"/>
    <w:rsid w:val="00E10CB8"/>
    <w:rsid w:val="00E114D3"/>
    <w:rsid w:val="00E11D64"/>
    <w:rsid w:val="00E200AA"/>
    <w:rsid w:val="00E20521"/>
    <w:rsid w:val="00E205DC"/>
    <w:rsid w:val="00E220EB"/>
    <w:rsid w:val="00E2293A"/>
    <w:rsid w:val="00E2293F"/>
    <w:rsid w:val="00E23DD4"/>
    <w:rsid w:val="00E25E9D"/>
    <w:rsid w:val="00E274FD"/>
    <w:rsid w:val="00E30511"/>
    <w:rsid w:val="00E30FC1"/>
    <w:rsid w:val="00E36063"/>
    <w:rsid w:val="00E368B6"/>
    <w:rsid w:val="00E36B90"/>
    <w:rsid w:val="00E40870"/>
    <w:rsid w:val="00E41F5E"/>
    <w:rsid w:val="00E42770"/>
    <w:rsid w:val="00E439B6"/>
    <w:rsid w:val="00E43CCE"/>
    <w:rsid w:val="00E4464A"/>
    <w:rsid w:val="00E45029"/>
    <w:rsid w:val="00E4665E"/>
    <w:rsid w:val="00E46DA6"/>
    <w:rsid w:val="00E47C57"/>
    <w:rsid w:val="00E53861"/>
    <w:rsid w:val="00E54E1B"/>
    <w:rsid w:val="00E5506B"/>
    <w:rsid w:val="00E550F4"/>
    <w:rsid w:val="00E55773"/>
    <w:rsid w:val="00E572B2"/>
    <w:rsid w:val="00E575DB"/>
    <w:rsid w:val="00E6059E"/>
    <w:rsid w:val="00E60DDF"/>
    <w:rsid w:val="00E63FC8"/>
    <w:rsid w:val="00E643A7"/>
    <w:rsid w:val="00E65E0B"/>
    <w:rsid w:val="00E669EB"/>
    <w:rsid w:val="00E66F45"/>
    <w:rsid w:val="00E67B44"/>
    <w:rsid w:val="00E67EA3"/>
    <w:rsid w:val="00E70FF8"/>
    <w:rsid w:val="00E7146E"/>
    <w:rsid w:val="00E71998"/>
    <w:rsid w:val="00E72D4F"/>
    <w:rsid w:val="00E74254"/>
    <w:rsid w:val="00E7536E"/>
    <w:rsid w:val="00E7563B"/>
    <w:rsid w:val="00E75DF4"/>
    <w:rsid w:val="00E80794"/>
    <w:rsid w:val="00E84386"/>
    <w:rsid w:val="00E84A7C"/>
    <w:rsid w:val="00E85C42"/>
    <w:rsid w:val="00E85CCA"/>
    <w:rsid w:val="00E85FA3"/>
    <w:rsid w:val="00E912F8"/>
    <w:rsid w:val="00E9138D"/>
    <w:rsid w:val="00E92856"/>
    <w:rsid w:val="00E941D7"/>
    <w:rsid w:val="00E95D08"/>
    <w:rsid w:val="00EA067B"/>
    <w:rsid w:val="00EA1162"/>
    <w:rsid w:val="00EA3D60"/>
    <w:rsid w:val="00EA5B0F"/>
    <w:rsid w:val="00EA62ED"/>
    <w:rsid w:val="00EB0418"/>
    <w:rsid w:val="00EB0D58"/>
    <w:rsid w:val="00EB1C81"/>
    <w:rsid w:val="00EB214F"/>
    <w:rsid w:val="00EB233A"/>
    <w:rsid w:val="00EB26A7"/>
    <w:rsid w:val="00EB2765"/>
    <w:rsid w:val="00EB3267"/>
    <w:rsid w:val="00EB40FA"/>
    <w:rsid w:val="00EB44F6"/>
    <w:rsid w:val="00EB4EC9"/>
    <w:rsid w:val="00EB6118"/>
    <w:rsid w:val="00EC0FB1"/>
    <w:rsid w:val="00EC2701"/>
    <w:rsid w:val="00EC31C0"/>
    <w:rsid w:val="00EC5810"/>
    <w:rsid w:val="00EC652A"/>
    <w:rsid w:val="00EC76F9"/>
    <w:rsid w:val="00ED0904"/>
    <w:rsid w:val="00ED1980"/>
    <w:rsid w:val="00ED3198"/>
    <w:rsid w:val="00ED5B33"/>
    <w:rsid w:val="00ED78F9"/>
    <w:rsid w:val="00EE2139"/>
    <w:rsid w:val="00EE4743"/>
    <w:rsid w:val="00EE4ADF"/>
    <w:rsid w:val="00EE511F"/>
    <w:rsid w:val="00EE620B"/>
    <w:rsid w:val="00EE763C"/>
    <w:rsid w:val="00EF0A1C"/>
    <w:rsid w:val="00EF131B"/>
    <w:rsid w:val="00EF1567"/>
    <w:rsid w:val="00EF28DB"/>
    <w:rsid w:val="00EF2C4E"/>
    <w:rsid w:val="00EF31E7"/>
    <w:rsid w:val="00EF3F6E"/>
    <w:rsid w:val="00EF45E3"/>
    <w:rsid w:val="00EF56ED"/>
    <w:rsid w:val="00EF59B4"/>
    <w:rsid w:val="00EF630E"/>
    <w:rsid w:val="00EF7CC1"/>
    <w:rsid w:val="00F004A1"/>
    <w:rsid w:val="00F0249D"/>
    <w:rsid w:val="00F0350C"/>
    <w:rsid w:val="00F03763"/>
    <w:rsid w:val="00F0450C"/>
    <w:rsid w:val="00F075EC"/>
    <w:rsid w:val="00F1026C"/>
    <w:rsid w:val="00F1100A"/>
    <w:rsid w:val="00F12AB5"/>
    <w:rsid w:val="00F138D6"/>
    <w:rsid w:val="00F13CC7"/>
    <w:rsid w:val="00F153E1"/>
    <w:rsid w:val="00F16019"/>
    <w:rsid w:val="00F165C3"/>
    <w:rsid w:val="00F1730F"/>
    <w:rsid w:val="00F17558"/>
    <w:rsid w:val="00F20911"/>
    <w:rsid w:val="00F20A42"/>
    <w:rsid w:val="00F20ED6"/>
    <w:rsid w:val="00F21039"/>
    <w:rsid w:val="00F22846"/>
    <w:rsid w:val="00F24583"/>
    <w:rsid w:val="00F27B07"/>
    <w:rsid w:val="00F311EB"/>
    <w:rsid w:val="00F317A1"/>
    <w:rsid w:val="00F34130"/>
    <w:rsid w:val="00F34A9B"/>
    <w:rsid w:val="00F34E30"/>
    <w:rsid w:val="00F351FF"/>
    <w:rsid w:val="00F36D0B"/>
    <w:rsid w:val="00F37038"/>
    <w:rsid w:val="00F40217"/>
    <w:rsid w:val="00F4079C"/>
    <w:rsid w:val="00F412CE"/>
    <w:rsid w:val="00F41D23"/>
    <w:rsid w:val="00F42B42"/>
    <w:rsid w:val="00F4741D"/>
    <w:rsid w:val="00F47AD6"/>
    <w:rsid w:val="00F47B95"/>
    <w:rsid w:val="00F47EF7"/>
    <w:rsid w:val="00F500F6"/>
    <w:rsid w:val="00F521F1"/>
    <w:rsid w:val="00F5250F"/>
    <w:rsid w:val="00F53078"/>
    <w:rsid w:val="00F534E3"/>
    <w:rsid w:val="00F5368A"/>
    <w:rsid w:val="00F53700"/>
    <w:rsid w:val="00F56AAA"/>
    <w:rsid w:val="00F6254B"/>
    <w:rsid w:val="00F647A3"/>
    <w:rsid w:val="00F64BD4"/>
    <w:rsid w:val="00F66884"/>
    <w:rsid w:val="00F701C2"/>
    <w:rsid w:val="00F71F89"/>
    <w:rsid w:val="00F75D7C"/>
    <w:rsid w:val="00F77DFE"/>
    <w:rsid w:val="00F811B2"/>
    <w:rsid w:val="00F82A20"/>
    <w:rsid w:val="00F850A4"/>
    <w:rsid w:val="00F86737"/>
    <w:rsid w:val="00F867AE"/>
    <w:rsid w:val="00F8720D"/>
    <w:rsid w:val="00F905E6"/>
    <w:rsid w:val="00F90984"/>
    <w:rsid w:val="00F94F6E"/>
    <w:rsid w:val="00F9566E"/>
    <w:rsid w:val="00F973EB"/>
    <w:rsid w:val="00F979D0"/>
    <w:rsid w:val="00FA1D38"/>
    <w:rsid w:val="00FA47C4"/>
    <w:rsid w:val="00FA54DD"/>
    <w:rsid w:val="00FA5975"/>
    <w:rsid w:val="00FA6FBE"/>
    <w:rsid w:val="00FA7430"/>
    <w:rsid w:val="00FA7F96"/>
    <w:rsid w:val="00FB005F"/>
    <w:rsid w:val="00FB4D94"/>
    <w:rsid w:val="00FB50B1"/>
    <w:rsid w:val="00FB5E8C"/>
    <w:rsid w:val="00FB7A6E"/>
    <w:rsid w:val="00FC0C83"/>
    <w:rsid w:val="00FC0D1B"/>
    <w:rsid w:val="00FC1D86"/>
    <w:rsid w:val="00FC3190"/>
    <w:rsid w:val="00FC5D52"/>
    <w:rsid w:val="00FC6005"/>
    <w:rsid w:val="00FC6FFE"/>
    <w:rsid w:val="00FC7ED0"/>
    <w:rsid w:val="00FD06E3"/>
    <w:rsid w:val="00FD0703"/>
    <w:rsid w:val="00FD3665"/>
    <w:rsid w:val="00FD3666"/>
    <w:rsid w:val="00FD57EF"/>
    <w:rsid w:val="00FD64FB"/>
    <w:rsid w:val="00FD7562"/>
    <w:rsid w:val="00FD7AA7"/>
    <w:rsid w:val="00FE004C"/>
    <w:rsid w:val="00FE0141"/>
    <w:rsid w:val="00FE0720"/>
    <w:rsid w:val="00FE2546"/>
    <w:rsid w:val="00FE6B99"/>
    <w:rsid w:val="00FF11B3"/>
    <w:rsid w:val="00FF165D"/>
    <w:rsid w:val="00FF2C99"/>
    <w:rsid w:val="00FF3DC0"/>
    <w:rsid w:val="00FF43B9"/>
    <w:rsid w:val="00FF4406"/>
    <w:rsid w:val="00FF5C69"/>
    <w:rsid w:val="00FF6C9E"/>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515ADE"/>
  <w15:docId w15:val="{F718BC8F-74E0-4AF3-9DD5-20E6FD4D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87"/>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AE2DE1"/>
    <w:pPr>
      <w:keepNext/>
      <w:keepLines/>
      <w:outlineLvl w:val="0"/>
    </w:pPr>
    <w:rPr>
      <w:rFonts w:ascii="Source Sans Pro SemiBold" w:eastAsia="SimHei" w:hAnsi="Source Sans Pro SemiBold"/>
      <w:color w:val="002A3A" w:themeColor="text2"/>
      <w:spacing w:val="1"/>
      <w:sz w:val="28"/>
      <w:szCs w:val="28"/>
    </w:rPr>
  </w:style>
  <w:style w:type="paragraph" w:styleId="Heading2">
    <w:name w:val="heading 2"/>
    <w:basedOn w:val="Normal"/>
    <w:next w:val="Normal"/>
    <w:link w:val="Heading2Char"/>
    <w:uiPriority w:val="9"/>
    <w:qFormat/>
    <w:rsid w:val="00AE2DE1"/>
    <w:pPr>
      <w:keepNext/>
      <w:keepLines/>
      <w:outlineLvl w:val="1"/>
    </w:pPr>
    <w:rPr>
      <w:rFonts w:ascii="Source Sans Pro SemiBold" w:eastAsia="SimHei" w:hAnsi="Source Sans Pro SemiBold"/>
      <w:color w:val="002A3A" w:themeColor="text2"/>
      <w:spacing w:val="1"/>
      <w:sz w:val="26"/>
      <w:szCs w:val="26"/>
    </w:rPr>
  </w:style>
  <w:style w:type="paragraph" w:styleId="Heading3">
    <w:name w:val="heading 3"/>
    <w:basedOn w:val="Normal"/>
    <w:next w:val="Normal"/>
    <w:link w:val="Heading3Char"/>
    <w:uiPriority w:val="9"/>
    <w:qFormat/>
    <w:rsid w:val="00AE2DE1"/>
    <w:pPr>
      <w:keepNext/>
      <w:keepLines/>
      <w:spacing w:before="180"/>
      <w:outlineLvl w:val="2"/>
    </w:pPr>
    <w:rPr>
      <w:rFonts w:asciiTheme="majorHAnsi" w:eastAsiaTheme="majorEastAsia" w:hAnsiTheme="majorHAnsi" w:cstheme="majorBidi"/>
      <w:bCs/>
      <w:color w:val="002A3A" w:themeColor="text2"/>
      <w:sz w:val="24"/>
      <w:szCs w:val="24"/>
    </w:rPr>
  </w:style>
  <w:style w:type="paragraph" w:styleId="Heading4">
    <w:name w:val="heading 4"/>
    <w:basedOn w:val="Normal"/>
    <w:next w:val="Normal"/>
    <w:link w:val="Heading4Char"/>
    <w:uiPriority w:val="9"/>
    <w:qFormat/>
    <w:rsid w:val="00AE2DE1"/>
    <w:pPr>
      <w:keepNext/>
      <w:keepLines/>
      <w:spacing w:before="180"/>
      <w:outlineLvl w:val="3"/>
    </w:pPr>
    <w:rPr>
      <w:rFonts w:asciiTheme="majorHAnsi" w:eastAsiaTheme="majorEastAsia" w:hAnsiTheme="majorHAnsi" w:cstheme="majorBidi"/>
      <w:bCs/>
      <w:i/>
      <w:iCs/>
      <w:color w:val="002A3A" w:themeColor="text2"/>
    </w:rPr>
  </w:style>
  <w:style w:type="paragraph" w:styleId="Heading5">
    <w:name w:val="heading 5"/>
    <w:basedOn w:val="Normal"/>
    <w:next w:val="Normal"/>
    <w:link w:val="Heading5Char"/>
    <w:uiPriority w:val="9"/>
    <w:qFormat/>
    <w:rsid w:val="00AE2DE1"/>
    <w:pPr>
      <w:keepNext/>
      <w:keepLines/>
      <w:spacing w:before="180"/>
      <w:outlineLvl w:val="4"/>
    </w:pPr>
    <w:rPr>
      <w:rFonts w:ascii="Source Sans Pro SemiBold" w:eastAsiaTheme="majorEastAsia" w:hAnsi="Source Sans Pro SemiBold" w:cstheme="majorBidi"/>
      <w:color w:val="002A3A" w:themeColor="text2"/>
      <w:sz w:val="20"/>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AE2DE1"/>
    <w:rPr>
      <w:rFonts w:ascii="Source Sans Pro SemiBold" w:eastAsia="SimHei" w:hAnsi="Source Sans Pro SemiBold"/>
      <w:color w:val="002A3A" w:themeColor="text2"/>
      <w:spacing w:val="1"/>
      <w:sz w:val="28"/>
      <w:szCs w:val="28"/>
      <w:lang w:eastAsia="en-US"/>
    </w:rPr>
  </w:style>
  <w:style w:type="character" w:customStyle="1" w:styleId="Heading2Char">
    <w:name w:val="Heading 2 Char"/>
    <w:basedOn w:val="DefaultParagraphFont"/>
    <w:link w:val="Heading2"/>
    <w:uiPriority w:val="9"/>
    <w:rsid w:val="00AE2DE1"/>
    <w:rPr>
      <w:rFonts w:ascii="Source Sans Pro SemiBold" w:eastAsia="SimHei" w:hAnsi="Source Sans Pro SemiBold"/>
      <w:color w:val="002A3A" w:themeColor="text2"/>
      <w:spacing w:val="1"/>
      <w:sz w:val="26"/>
      <w:szCs w:val="26"/>
      <w:lang w:eastAsia="en-US"/>
    </w:rPr>
  </w:style>
  <w:style w:type="character" w:customStyle="1" w:styleId="Heading3Char">
    <w:name w:val="Heading 3 Char"/>
    <w:basedOn w:val="DefaultParagraphFont"/>
    <w:link w:val="Heading3"/>
    <w:uiPriority w:val="9"/>
    <w:rsid w:val="00AE2DE1"/>
    <w:rPr>
      <w:rFonts w:asciiTheme="majorHAnsi" w:eastAsiaTheme="majorEastAsia" w:hAnsiTheme="majorHAnsi" w:cstheme="majorBidi"/>
      <w:bCs/>
      <w:color w:val="002A3A" w:themeColor="text2"/>
      <w:sz w:val="24"/>
      <w:szCs w:val="24"/>
      <w:lang w:eastAsia="en-US"/>
    </w:rPr>
  </w:style>
  <w:style w:type="character" w:customStyle="1" w:styleId="Heading4Char">
    <w:name w:val="Heading 4 Char"/>
    <w:basedOn w:val="DefaultParagraphFont"/>
    <w:link w:val="Heading4"/>
    <w:uiPriority w:val="9"/>
    <w:rsid w:val="00AE2DE1"/>
    <w:rPr>
      <w:rFonts w:asciiTheme="majorHAnsi" w:eastAsiaTheme="majorEastAsia" w:hAnsiTheme="majorHAnsi" w:cstheme="majorBidi"/>
      <w:bCs/>
      <w:i/>
      <w:iCs/>
      <w:color w:val="002A3A" w:themeColor="text2"/>
      <w:sz w:val="22"/>
      <w:szCs w:val="22"/>
      <w:lang w:eastAsia="en-US"/>
    </w:rPr>
  </w:style>
  <w:style w:type="character" w:customStyle="1" w:styleId="Heading5Char">
    <w:name w:val="Heading 5 Char"/>
    <w:basedOn w:val="DefaultParagraphFont"/>
    <w:link w:val="Heading5"/>
    <w:uiPriority w:val="9"/>
    <w:rsid w:val="00AE2DE1"/>
    <w:rPr>
      <w:rFonts w:ascii="Source Sans Pro SemiBold" w:eastAsiaTheme="majorEastAsia" w:hAnsi="Source Sans Pro SemiBold" w:cstheme="majorBidi"/>
      <w:color w:val="002A3A" w:themeColor="text2"/>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1C3C31"/>
    <w:pPr>
      <w:spacing w:after="0"/>
    </w:pPr>
    <w:rPr>
      <w:color w:val="002A3A" w:themeColor="text2"/>
      <w:sz w:val="18"/>
    </w:rPr>
  </w:style>
  <w:style w:type="character" w:customStyle="1" w:styleId="FooterChar">
    <w:name w:val="Footer Char"/>
    <w:basedOn w:val="DefaultParagraphFont"/>
    <w:link w:val="Footer"/>
    <w:uiPriority w:val="99"/>
    <w:rsid w:val="001C3C31"/>
    <w:rPr>
      <w:rFonts w:asciiTheme="minorHAnsi" w:hAnsiTheme="minorHAnsi"/>
      <w:color w:val="002A3A" w:themeColor="text2"/>
      <w:sz w:val="18"/>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color w:val="002A3A" w:themeColor="text2"/>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002A3A" w:themeColor="text2"/>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1C3C31"/>
    <w:pPr>
      <w:numPr>
        <w:ilvl w:val="1"/>
        <w:numId w:val="13"/>
      </w:numPr>
      <w:adjustRightInd w:val="0"/>
      <w:spacing w:before="12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rsid w:val="00483C51"/>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1C3C31"/>
    <w:pPr>
      <w:numPr>
        <w:numId w:val="14"/>
      </w:numPr>
      <w:spacing w:before="120"/>
    </w:pPr>
  </w:style>
  <w:style w:type="paragraph" w:styleId="ListNumber2">
    <w:name w:val="List Number 2"/>
    <w:basedOn w:val="Normal"/>
    <w:uiPriority w:val="99"/>
    <w:qFormat/>
    <w:rsid w:val="001C3C31"/>
    <w:pPr>
      <w:numPr>
        <w:ilvl w:val="1"/>
        <w:numId w:val="14"/>
      </w:numPr>
      <w:spacing w:before="120"/>
    </w:pPr>
  </w:style>
  <w:style w:type="paragraph" w:customStyle="1" w:styleId="TableHeading">
    <w:name w:val="Table Heading"/>
    <w:basedOn w:val="TableText"/>
    <w:qFormat/>
    <w:rsid w:val="00B85FFB"/>
  </w:style>
  <w:style w:type="paragraph" w:customStyle="1" w:styleId="TableText">
    <w:name w:val="Table Text"/>
    <w:basedOn w:val="Normal"/>
    <w:uiPriority w:val="60"/>
    <w:qFormat/>
    <w:rsid w:val="00A07607"/>
    <w:pPr>
      <w:adjustRightInd w:val="0"/>
      <w:spacing w:before="60" w:after="60"/>
    </w:pPr>
    <w:rPr>
      <w:color w:val="000000" w:themeColor="text1"/>
    </w:rPr>
  </w:style>
  <w:style w:type="paragraph" w:customStyle="1" w:styleId="TableBullet">
    <w:name w:val="Table Bullet"/>
    <w:basedOn w:val="TableText"/>
    <w:link w:val="TableBulletChar"/>
    <w:qFormat/>
    <w:rsid w:val="00A07607"/>
    <w:pPr>
      <w:numPr>
        <w:numId w:val="3"/>
      </w:numPr>
      <w:ind w:left="284" w:hanging="284"/>
    </w:pPr>
  </w:style>
  <w:style w:type="paragraph" w:styleId="Caption">
    <w:name w:val="caption"/>
    <w:basedOn w:val="Normal"/>
    <w:next w:val="Normal"/>
    <w:uiPriority w:val="35"/>
    <w:qFormat/>
    <w:rsid w:val="00B85FFB"/>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940831"/>
    <w:rPr>
      <w:color w:val="002A3A" w:themeColor="text2"/>
      <w:u w:val="single"/>
    </w:rPr>
  </w:style>
  <w:style w:type="table" w:customStyle="1" w:styleId="OAICTable">
    <w:name w:val="OAIC Table"/>
    <w:basedOn w:val="TableNormal"/>
    <w:uiPriority w:val="99"/>
    <w:rsid w:val="00B85FFB"/>
    <w:pPr>
      <w:ind w:left="0" w:firstLine="0"/>
    </w:pPr>
    <w:rPr>
      <w:rFonts w:asciiTheme="minorHAnsi" w:hAnsiTheme="minorHAnsi"/>
    </w:rPr>
    <w:tblPr>
      <w:tblBorders>
        <w:bottom w:val="single" w:sz="4" w:space="0" w:color="E0D8DA" w:themeColor="accent6"/>
        <w:insideH w:val="single" w:sz="4" w:space="0" w:color="E0D8DA" w:themeColor="accent6"/>
      </w:tblBorders>
    </w:tblPr>
    <w:tblStylePr w:type="firstRow">
      <w:rPr>
        <w:b/>
        <w:color w:val="auto"/>
        <w:sz w:val="22"/>
      </w:rPr>
      <w:tblPr/>
      <w:tcPr>
        <w:shd w:val="clear" w:color="auto" w:fill="E0D8DA"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1C3C31"/>
    <w:pPr>
      <w:numPr>
        <w:ilvl w:val="2"/>
        <w:numId w:val="14"/>
      </w:numPr>
      <w:spacing w:before="120"/>
    </w:pPr>
  </w:style>
  <w:style w:type="paragraph" w:styleId="FootnoteText">
    <w:name w:val="footnote text"/>
    <w:basedOn w:val="Normal"/>
    <w:link w:val="FootnoteTextChar"/>
    <w:uiPriority w:val="99"/>
    <w:unhideWhenUsed/>
    <w:rsid w:val="001C3C31"/>
    <w:pPr>
      <w:tabs>
        <w:tab w:val="left" w:pos="170"/>
      </w:tabs>
      <w:spacing w:after="60"/>
      <w:ind w:left="170" w:right="567" w:hanging="170"/>
    </w:pPr>
    <w:rPr>
      <w:sz w:val="18"/>
    </w:rPr>
  </w:style>
  <w:style w:type="character" w:customStyle="1" w:styleId="TableBulletChar">
    <w:name w:val="Table Bullet Char"/>
    <w:link w:val="TableBullet"/>
    <w:locked/>
    <w:rsid w:val="00A07607"/>
    <w:rPr>
      <w:rFonts w:asciiTheme="minorHAnsi" w:eastAsiaTheme="minorHAnsi" w:hAnsiTheme="minorHAnsi" w:cstheme="minorBidi"/>
      <w:color w:val="000000" w:themeColor="text1"/>
      <w:sz w:val="22"/>
      <w:szCs w:val="22"/>
      <w:lang w:eastAsia="en-US"/>
    </w:rPr>
  </w:style>
  <w:style w:type="character" w:customStyle="1" w:styleId="FootnoteTextChar">
    <w:name w:val="Footnote Text Char"/>
    <w:basedOn w:val="DefaultParagraphFont"/>
    <w:link w:val="FootnoteText"/>
    <w:uiPriority w:val="99"/>
    <w:rsid w:val="001C3C31"/>
    <w:rPr>
      <w:rFonts w:asciiTheme="minorHAnsi" w:hAnsiTheme="minorHAnsi"/>
      <w:sz w:val="18"/>
    </w:rPr>
  </w:style>
  <w:style w:type="paragraph" w:styleId="Header">
    <w:name w:val="header"/>
    <w:basedOn w:val="Normal"/>
    <w:link w:val="HeaderChar"/>
    <w:uiPriority w:val="99"/>
    <w:semiHidden/>
    <w:rsid w:val="00BC3B49"/>
    <w:pPr>
      <w:spacing w:after="0"/>
    </w:pPr>
    <w:rPr>
      <w:sz w:val="18"/>
    </w:rPr>
  </w:style>
  <w:style w:type="character" w:customStyle="1" w:styleId="HeaderChar">
    <w:name w:val="Header Char"/>
    <w:basedOn w:val="DefaultParagraphFont"/>
    <w:link w:val="Header"/>
    <w:uiPriority w:val="99"/>
    <w:semiHidden/>
    <w:rsid w:val="00BC3B49"/>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color w:val="000000" w:themeColor="text1"/>
      <w:sz w:val="22"/>
    </w:rPr>
  </w:style>
  <w:style w:type="paragraph" w:customStyle="1" w:styleId="CalloutBox">
    <w:name w:val="Callout Box"/>
    <w:basedOn w:val="CallouttextB"/>
    <w:next w:val="Normal"/>
    <w:qFormat/>
    <w:rsid w:val="00B85FFB"/>
  </w:style>
  <w:style w:type="paragraph" w:customStyle="1" w:styleId="Source">
    <w:name w:val="Source"/>
    <w:next w:val="Normal"/>
    <w:uiPriority w:val="97"/>
    <w:semiHidden/>
    <w:rsid w:val="003F40AD"/>
    <w:pPr>
      <w:numPr>
        <w:numId w:val="5"/>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3F40AD"/>
    <w:rPr>
      <w:b/>
      <w:color w:val="002A3A" w:themeColor="text2"/>
    </w:rPr>
  </w:style>
  <w:style w:type="paragraph" w:customStyle="1" w:styleId="TableCaption">
    <w:name w:val="Table Caption"/>
    <w:basedOn w:val="Normal"/>
    <w:next w:val="Normal"/>
    <w:rsid w:val="00B85FFB"/>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8964B9"/>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1C3C31"/>
    <w:pPr>
      <w:numPr>
        <w:numId w:val="13"/>
      </w:numPr>
      <w:spacing w:before="120"/>
    </w:pPr>
  </w:style>
  <w:style w:type="paragraph" w:customStyle="1" w:styleId="Reference">
    <w:name w:val="Reference"/>
    <w:basedOn w:val="Normal"/>
    <w:next w:val="Normal"/>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Subject">
    <w:name w:val="Subject"/>
    <w:basedOn w:val="Normal"/>
    <w:qFormat/>
    <w:rsid w:val="00BC3B49"/>
    <w:pPr>
      <w:spacing w:after="480"/>
      <w:contextualSpacing/>
    </w:pPr>
    <w:rPr>
      <w:rFonts w:eastAsia="MS Mincho"/>
      <w:b/>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D6331"/>
    <w:pPr>
      <w:numPr>
        <w:ilvl w:val="1"/>
        <w:numId w:val="12"/>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002A3A" w:themeColor="text2"/>
      <w:sz w:val="22"/>
    </w:rPr>
  </w:style>
  <w:style w:type="numbering" w:customStyle="1" w:styleId="NumberedParagraphsList">
    <w:name w:val="NumberedParagraphs List"/>
    <w:uiPriority w:val="99"/>
    <w:rsid w:val="007D6331"/>
    <w:pPr>
      <w:numPr>
        <w:numId w:val="9"/>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semiHidden/>
    <w:qFormat/>
    <w:rsid w:val="00171E96"/>
    <w:pPr>
      <w:numPr>
        <w:numId w:val="10"/>
      </w:numPr>
      <w:ind w:left="624" w:hanging="227"/>
    </w:pPr>
  </w:style>
  <w:style w:type="paragraph" w:customStyle="1" w:styleId="IndentBullet2">
    <w:name w:val="Indent Bullet 2"/>
    <w:basedOn w:val="ListParagraph"/>
    <w:semiHidden/>
    <w:qFormat/>
    <w:rsid w:val="00171E96"/>
    <w:pPr>
      <w:numPr>
        <w:numId w:val="11"/>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color w:val="000000" w:themeColor="text1"/>
      <w:sz w:val="18"/>
    </w:rPr>
  </w:style>
  <w:style w:type="paragraph" w:customStyle="1" w:styleId="LastPageDetailsHeading">
    <w:name w:val="LastPage Details_Heading"/>
    <w:basedOn w:val="Normal"/>
    <w:semiHidden/>
    <w:qFormat/>
    <w:rsid w:val="00550767"/>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SenderAddress">
    <w:name w:val="Sender Address"/>
    <w:basedOn w:val="Header"/>
    <w:rsid w:val="001416C6"/>
    <w:pPr>
      <w:spacing w:after="8" w:line="240" w:lineRule="atLeast"/>
      <w:jc w:val="right"/>
    </w:pPr>
    <w:rPr>
      <w:color w:val="002B4B"/>
    </w:rPr>
  </w:style>
  <w:style w:type="paragraph" w:customStyle="1" w:styleId="URL">
    <w:name w:val="URL"/>
    <w:basedOn w:val="SenderAddress"/>
    <w:rsid w:val="00303ED8"/>
    <w:pPr>
      <w:spacing w:after="40"/>
    </w:pPr>
    <w:rPr>
      <w:b/>
      <w:spacing w:val="-3"/>
      <w:sz w:val="28"/>
    </w:rPr>
  </w:style>
  <w:style w:type="paragraph" w:customStyle="1" w:styleId="RecipientAddress">
    <w:name w:val="Recipient Address"/>
    <w:basedOn w:val="Normal"/>
    <w:rsid w:val="003E06B6"/>
    <w:pPr>
      <w:spacing w:after="500"/>
      <w:contextualSpacing/>
    </w:pPr>
  </w:style>
  <w:style w:type="paragraph" w:customStyle="1" w:styleId="SenderDetails">
    <w:name w:val="Sender Details"/>
    <w:basedOn w:val="Normal"/>
    <w:rsid w:val="00EB26A7"/>
    <w:pPr>
      <w:contextualSpacing/>
    </w:pPr>
  </w:style>
  <w:style w:type="character" w:styleId="FootnoteReference">
    <w:name w:val="footnote reference"/>
    <w:basedOn w:val="DefaultParagraphFont"/>
    <w:uiPriority w:val="99"/>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ListBullet3">
    <w:name w:val="List Bullet 3"/>
    <w:basedOn w:val="Normal"/>
    <w:uiPriority w:val="99"/>
    <w:rsid w:val="001C3C31"/>
    <w:pPr>
      <w:numPr>
        <w:ilvl w:val="2"/>
        <w:numId w:val="13"/>
      </w:numPr>
      <w:spacing w:before="120"/>
      <w:ind w:left="851"/>
    </w:pPr>
  </w:style>
  <w:style w:type="paragraph" w:styleId="NoSpacing">
    <w:name w:val="No Spacing"/>
    <w:link w:val="NoSpacingChar"/>
    <w:uiPriority w:val="1"/>
    <w:rsid w:val="00BC3B49"/>
    <w:pPr>
      <w:ind w:left="0" w:firstLine="0"/>
    </w:pPr>
    <w:rPr>
      <w:rFonts w:asciiTheme="minorHAnsi" w:hAnsiTheme="minorHAnsi"/>
      <w:sz w:val="22"/>
    </w:rPr>
  </w:style>
  <w:style w:type="character" w:styleId="Strong">
    <w:name w:val="Strong"/>
    <w:basedOn w:val="DefaultParagraphFont"/>
    <w:uiPriority w:val="22"/>
    <w:rsid w:val="00BC3B49"/>
    <w:rPr>
      <w:b/>
      <w:bCs/>
    </w:rPr>
  </w:style>
  <w:style w:type="paragraph" w:customStyle="1" w:styleId="Address">
    <w:name w:val="Address"/>
    <w:basedOn w:val="NoSpacing"/>
    <w:link w:val="AddressChar"/>
    <w:rsid w:val="00BD0C9C"/>
    <w:pPr>
      <w:spacing w:after="480"/>
      <w:contextualSpacing/>
    </w:pPr>
  </w:style>
  <w:style w:type="table" w:customStyle="1" w:styleId="Frame-Footer">
    <w:name w:val="Frame - Footer"/>
    <w:basedOn w:val="TableNormal"/>
    <w:uiPriority w:val="99"/>
    <w:rsid w:val="00C52664"/>
    <w:pPr>
      <w:ind w:left="0" w:firstLine="0"/>
    </w:pPr>
    <w:tblPr>
      <w:tblCellMar>
        <w:left w:w="0" w:type="dxa"/>
        <w:right w:w="0" w:type="dxa"/>
      </w:tblCellMar>
    </w:tblPr>
    <w:tcPr>
      <w:shd w:val="clear" w:color="auto" w:fill="FFFFFF" w:themeFill="background1"/>
      <w:vAlign w:val="bottom"/>
    </w:tcPr>
  </w:style>
  <w:style w:type="character" w:customStyle="1" w:styleId="NoSpacingChar">
    <w:name w:val="No Spacing Char"/>
    <w:basedOn w:val="DefaultParagraphFont"/>
    <w:link w:val="NoSpacing"/>
    <w:uiPriority w:val="1"/>
    <w:rsid w:val="00BC3B49"/>
    <w:rPr>
      <w:rFonts w:asciiTheme="minorHAnsi" w:hAnsiTheme="minorHAnsi"/>
      <w:sz w:val="22"/>
    </w:rPr>
  </w:style>
  <w:style w:type="character" w:customStyle="1" w:styleId="AddressChar">
    <w:name w:val="Address Char"/>
    <w:basedOn w:val="NoSpacingChar"/>
    <w:link w:val="Address"/>
    <w:rsid w:val="00BD0C9C"/>
    <w:rPr>
      <w:rFonts w:asciiTheme="minorHAnsi" w:hAnsiTheme="minorHAnsi"/>
      <w:sz w:val="22"/>
    </w:rPr>
  </w:style>
  <w:style w:type="paragraph" w:customStyle="1" w:styleId="PageNo">
    <w:name w:val="Page No."/>
    <w:basedOn w:val="Footer"/>
    <w:link w:val="PageNoChar"/>
    <w:rsid w:val="00BF7F26"/>
  </w:style>
  <w:style w:type="character" w:customStyle="1" w:styleId="PageNoChar">
    <w:name w:val="Page No. Char"/>
    <w:basedOn w:val="FooterChar"/>
    <w:link w:val="PageNo"/>
    <w:rsid w:val="00BF7F26"/>
    <w:rPr>
      <w:rFonts w:asciiTheme="minorHAnsi" w:hAnsiTheme="minorHAnsi"/>
      <w:color w:val="002A3A" w:themeColor="text2"/>
      <w:sz w:val="18"/>
    </w:rPr>
  </w:style>
  <w:style w:type="paragraph" w:customStyle="1" w:styleId="CallouttextA">
    <w:name w:val="Callout text A"/>
    <w:basedOn w:val="Normal"/>
    <w:next w:val="Normal"/>
    <w:qFormat/>
    <w:rsid w:val="00B85FFB"/>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spacing w:val="1"/>
    </w:rPr>
  </w:style>
  <w:style w:type="paragraph" w:customStyle="1" w:styleId="CallouttextB">
    <w:name w:val="Callout text B"/>
    <w:basedOn w:val="CallouttextA"/>
    <w:next w:val="Normal"/>
    <w:qFormat/>
    <w:rsid w:val="00B85FFB"/>
    <w:pPr>
      <w:pBdr>
        <w:top w:val="single" w:sz="4" w:space="10" w:color="E0D8DA" w:themeColor="accent6"/>
        <w:left w:val="single" w:sz="4" w:space="10" w:color="E0D8DA" w:themeColor="accent6"/>
        <w:bottom w:val="single" w:sz="4" w:space="10" w:color="E0D8DA" w:themeColor="accent6"/>
        <w:right w:val="single" w:sz="4" w:space="10" w:color="E0D8DA" w:themeColor="accent6"/>
      </w:pBdr>
      <w:shd w:val="clear" w:color="auto" w:fill="E0D8DA" w:themeFill="accent6"/>
    </w:pPr>
  </w:style>
  <w:style w:type="paragraph" w:customStyle="1" w:styleId="ReferenceNo">
    <w:name w:val="Reference No."/>
    <w:basedOn w:val="Normal"/>
    <w:link w:val="ReferenceNoChar"/>
    <w:qFormat/>
    <w:rsid w:val="00567E44"/>
  </w:style>
  <w:style w:type="paragraph" w:customStyle="1" w:styleId="Sign-off">
    <w:name w:val="Sign-off"/>
    <w:basedOn w:val="NoSpacing"/>
    <w:link w:val="Sign-offChar"/>
    <w:qFormat/>
    <w:rsid w:val="00BD0C9C"/>
    <w:pPr>
      <w:spacing w:before="1200"/>
      <w:contextualSpacing/>
    </w:pPr>
  </w:style>
  <w:style w:type="character" w:customStyle="1" w:styleId="ReferenceNoChar">
    <w:name w:val="Reference No. Char"/>
    <w:basedOn w:val="DefaultParagraphFont"/>
    <w:link w:val="ReferenceNo"/>
    <w:rsid w:val="00567E44"/>
    <w:rPr>
      <w:rFonts w:asciiTheme="minorHAnsi" w:hAnsiTheme="minorHAnsi"/>
      <w:sz w:val="22"/>
    </w:rPr>
  </w:style>
  <w:style w:type="paragraph" w:styleId="Signature">
    <w:name w:val="Signature"/>
    <w:basedOn w:val="Normal"/>
    <w:link w:val="SignatureChar"/>
    <w:uiPriority w:val="99"/>
    <w:unhideWhenUsed/>
    <w:rsid w:val="00BD0C9C"/>
    <w:pPr>
      <w:spacing w:before="440" w:after="0"/>
    </w:pPr>
  </w:style>
  <w:style w:type="character" w:customStyle="1" w:styleId="Sign-offChar">
    <w:name w:val="Sign-off Char"/>
    <w:basedOn w:val="NoSpacingChar"/>
    <w:link w:val="Sign-off"/>
    <w:rsid w:val="00BD0C9C"/>
    <w:rPr>
      <w:rFonts w:asciiTheme="minorHAnsi" w:hAnsiTheme="minorHAnsi"/>
      <w:sz w:val="22"/>
    </w:rPr>
  </w:style>
  <w:style w:type="character" w:customStyle="1" w:styleId="SignatureChar">
    <w:name w:val="Signature Char"/>
    <w:basedOn w:val="DefaultParagraphFont"/>
    <w:link w:val="Signature"/>
    <w:uiPriority w:val="99"/>
    <w:rsid w:val="00BD0C9C"/>
    <w:rPr>
      <w:rFonts w:asciiTheme="minorHAnsi" w:hAnsiTheme="minorHAnsi"/>
      <w:sz w:val="22"/>
    </w:rPr>
  </w:style>
  <w:style w:type="paragraph" w:customStyle="1" w:styleId="SignatureDate">
    <w:name w:val="Signature Date"/>
    <w:basedOn w:val="NoSpacing"/>
    <w:link w:val="SignatureDateChar"/>
    <w:qFormat/>
    <w:rsid w:val="00BD0C9C"/>
    <w:pPr>
      <w:spacing w:before="240"/>
    </w:pPr>
  </w:style>
  <w:style w:type="character" w:customStyle="1" w:styleId="SignatureDateChar">
    <w:name w:val="Signature Date Char"/>
    <w:basedOn w:val="NoSpacingChar"/>
    <w:link w:val="SignatureDate"/>
    <w:rsid w:val="00BD0C9C"/>
    <w:rPr>
      <w:rFonts w:asciiTheme="minorHAnsi" w:hAnsiTheme="minorHAnsi"/>
      <w:sz w:val="22"/>
    </w:rPr>
  </w:style>
  <w:style w:type="table" w:customStyle="1" w:styleId="CalloutD">
    <w:name w:val="Callout D"/>
    <w:basedOn w:val="TableNormal"/>
    <w:uiPriority w:val="99"/>
    <w:rsid w:val="001A2DD3"/>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0D8DA"/>
      </w:tcPr>
    </w:tblStylePr>
    <w:tblStylePr w:type="swCell">
      <w:tblPr/>
      <w:tcPr>
        <w:shd w:val="clear" w:color="auto" w:fill="E0D8DA"/>
      </w:tcPr>
    </w:tblStylePr>
  </w:style>
  <w:style w:type="character" w:styleId="CommentReference">
    <w:name w:val="annotation reference"/>
    <w:basedOn w:val="DefaultParagraphFont"/>
    <w:uiPriority w:val="99"/>
    <w:semiHidden/>
    <w:unhideWhenUsed/>
    <w:rsid w:val="00473DE3"/>
    <w:rPr>
      <w:sz w:val="16"/>
      <w:szCs w:val="16"/>
    </w:rPr>
  </w:style>
  <w:style w:type="paragraph" w:styleId="CommentText">
    <w:name w:val="annotation text"/>
    <w:basedOn w:val="Normal"/>
    <w:link w:val="CommentTextChar"/>
    <w:uiPriority w:val="99"/>
    <w:unhideWhenUsed/>
    <w:rsid w:val="00473DE3"/>
    <w:pPr>
      <w:spacing w:line="240" w:lineRule="auto"/>
    </w:pPr>
    <w:rPr>
      <w:sz w:val="20"/>
      <w:szCs w:val="20"/>
    </w:rPr>
  </w:style>
  <w:style w:type="character" w:customStyle="1" w:styleId="CommentTextChar">
    <w:name w:val="Comment Text Char"/>
    <w:basedOn w:val="DefaultParagraphFont"/>
    <w:link w:val="CommentText"/>
    <w:uiPriority w:val="99"/>
    <w:rsid w:val="00473DE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73DE3"/>
    <w:rPr>
      <w:b/>
      <w:bCs/>
    </w:rPr>
  </w:style>
  <w:style w:type="character" w:customStyle="1" w:styleId="CommentSubjectChar">
    <w:name w:val="Comment Subject Char"/>
    <w:basedOn w:val="CommentTextChar"/>
    <w:link w:val="CommentSubject"/>
    <w:uiPriority w:val="99"/>
    <w:semiHidden/>
    <w:rsid w:val="00473DE3"/>
    <w:rPr>
      <w:rFonts w:asciiTheme="minorHAnsi" w:eastAsiaTheme="minorHAnsi" w:hAnsiTheme="minorHAnsi" w:cstheme="minorBidi"/>
      <w:b/>
      <w:bCs/>
      <w:lang w:eastAsia="en-US"/>
    </w:rPr>
  </w:style>
  <w:style w:type="paragraph" w:styleId="List">
    <w:name w:val="List"/>
    <w:basedOn w:val="Normal"/>
    <w:uiPriority w:val="99"/>
    <w:semiHidden/>
    <w:qFormat/>
    <w:rsid w:val="009C40CA"/>
    <w:pPr>
      <w:ind w:left="283" w:hanging="283"/>
      <w:contextualSpacing/>
    </w:pPr>
  </w:style>
  <w:style w:type="character" w:styleId="UnresolvedMention">
    <w:name w:val="Unresolved Mention"/>
    <w:basedOn w:val="DefaultParagraphFont"/>
    <w:uiPriority w:val="99"/>
    <w:semiHidden/>
    <w:unhideWhenUsed/>
    <w:rsid w:val="00233F12"/>
    <w:rPr>
      <w:color w:val="605E5C"/>
      <w:shd w:val="clear" w:color="auto" w:fill="E1DFDD"/>
    </w:rPr>
  </w:style>
  <w:style w:type="paragraph" w:customStyle="1" w:styleId="Default">
    <w:name w:val="Default"/>
    <w:rsid w:val="0050216F"/>
    <w:pPr>
      <w:autoSpaceDE w:val="0"/>
      <w:autoSpaceDN w:val="0"/>
      <w:adjustRightInd w:val="0"/>
      <w:ind w:left="0" w:firstLine="0"/>
    </w:pPr>
    <w:rPr>
      <w:rFonts w:ascii="Source Sans Pro" w:eastAsiaTheme="minorHAnsi" w:hAnsi="Source Sans Pro" w:cs="Source Sans Pro"/>
      <w:color w:val="000000"/>
      <w:sz w:val="24"/>
      <w:szCs w:val="24"/>
      <w:lang w:val="en-US" w:eastAsia="en-US"/>
    </w:rPr>
  </w:style>
  <w:style w:type="paragraph" w:styleId="Revision">
    <w:name w:val="Revision"/>
    <w:hidden/>
    <w:uiPriority w:val="99"/>
    <w:semiHidden/>
    <w:rsid w:val="00272E8E"/>
    <w:pPr>
      <w:ind w:left="0" w:firstLine="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120">
      <w:bodyDiv w:val="1"/>
      <w:marLeft w:val="0"/>
      <w:marRight w:val="0"/>
      <w:marTop w:val="0"/>
      <w:marBottom w:val="0"/>
      <w:divBdr>
        <w:top w:val="none" w:sz="0" w:space="0" w:color="auto"/>
        <w:left w:val="none" w:sz="0" w:space="0" w:color="auto"/>
        <w:bottom w:val="none" w:sz="0" w:space="0" w:color="auto"/>
        <w:right w:val="none" w:sz="0" w:space="0" w:color="auto"/>
      </w:divBdr>
    </w:div>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246572943">
      <w:bodyDiv w:val="1"/>
      <w:marLeft w:val="0"/>
      <w:marRight w:val="0"/>
      <w:marTop w:val="0"/>
      <w:marBottom w:val="0"/>
      <w:divBdr>
        <w:top w:val="none" w:sz="0" w:space="0" w:color="auto"/>
        <w:left w:val="none" w:sz="0" w:space="0" w:color="auto"/>
        <w:bottom w:val="none" w:sz="0" w:space="0" w:color="auto"/>
        <w:right w:val="none" w:sz="0" w:space="0" w:color="auto"/>
      </w:divBdr>
    </w:div>
    <w:div w:id="271784469">
      <w:bodyDiv w:val="1"/>
      <w:marLeft w:val="0"/>
      <w:marRight w:val="0"/>
      <w:marTop w:val="0"/>
      <w:marBottom w:val="0"/>
      <w:divBdr>
        <w:top w:val="none" w:sz="0" w:space="0" w:color="auto"/>
        <w:left w:val="none" w:sz="0" w:space="0" w:color="auto"/>
        <w:bottom w:val="none" w:sz="0" w:space="0" w:color="auto"/>
        <w:right w:val="none" w:sz="0" w:space="0" w:color="auto"/>
      </w:divBdr>
    </w:div>
    <w:div w:id="328365638">
      <w:bodyDiv w:val="1"/>
      <w:marLeft w:val="0"/>
      <w:marRight w:val="0"/>
      <w:marTop w:val="0"/>
      <w:marBottom w:val="0"/>
      <w:divBdr>
        <w:top w:val="none" w:sz="0" w:space="0" w:color="auto"/>
        <w:left w:val="none" w:sz="0" w:space="0" w:color="auto"/>
        <w:bottom w:val="none" w:sz="0" w:space="0" w:color="auto"/>
        <w:right w:val="none" w:sz="0" w:space="0" w:color="auto"/>
      </w:divBdr>
    </w:div>
    <w:div w:id="480772963">
      <w:bodyDiv w:val="1"/>
      <w:marLeft w:val="0"/>
      <w:marRight w:val="0"/>
      <w:marTop w:val="0"/>
      <w:marBottom w:val="0"/>
      <w:divBdr>
        <w:top w:val="none" w:sz="0" w:space="0" w:color="auto"/>
        <w:left w:val="none" w:sz="0" w:space="0" w:color="auto"/>
        <w:bottom w:val="none" w:sz="0" w:space="0" w:color="auto"/>
        <w:right w:val="none" w:sz="0" w:space="0" w:color="auto"/>
      </w:divBdr>
    </w:div>
    <w:div w:id="518278542">
      <w:bodyDiv w:val="1"/>
      <w:marLeft w:val="0"/>
      <w:marRight w:val="0"/>
      <w:marTop w:val="0"/>
      <w:marBottom w:val="0"/>
      <w:divBdr>
        <w:top w:val="none" w:sz="0" w:space="0" w:color="auto"/>
        <w:left w:val="none" w:sz="0" w:space="0" w:color="auto"/>
        <w:bottom w:val="none" w:sz="0" w:space="0" w:color="auto"/>
        <w:right w:val="none" w:sz="0" w:space="0" w:color="auto"/>
      </w:divBdr>
    </w:div>
    <w:div w:id="572273527">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716128265">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169056505">
      <w:bodyDiv w:val="1"/>
      <w:marLeft w:val="0"/>
      <w:marRight w:val="0"/>
      <w:marTop w:val="0"/>
      <w:marBottom w:val="0"/>
      <w:divBdr>
        <w:top w:val="none" w:sz="0" w:space="0" w:color="auto"/>
        <w:left w:val="none" w:sz="0" w:space="0" w:color="auto"/>
        <w:bottom w:val="none" w:sz="0" w:space="0" w:color="auto"/>
        <w:right w:val="none" w:sz="0" w:space="0" w:color="auto"/>
      </w:divBdr>
    </w:div>
    <w:div w:id="1237201451">
      <w:bodyDiv w:val="1"/>
      <w:marLeft w:val="0"/>
      <w:marRight w:val="0"/>
      <w:marTop w:val="0"/>
      <w:marBottom w:val="0"/>
      <w:divBdr>
        <w:top w:val="none" w:sz="0" w:space="0" w:color="auto"/>
        <w:left w:val="none" w:sz="0" w:space="0" w:color="auto"/>
        <w:bottom w:val="none" w:sz="0" w:space="0" w:color="auto"/>
        <w:right w:val="none" w:sz="0" w:space="0" w:color="auto"/>
      </w:divBdr>
    </w:div>
    <w:div w:id="1278683244">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25363843">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7846025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4864856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 w:id="1914118862">
      <w:bodyDiv w:val="1"/>
      <w:marLeft w:val="0"/>
      <w:marRight w:val="0"/>
      <w:marTop w:val="0"/>
      <w:marBottom w:val="0"/>
      <w:divBdr>
        <w:top w:val="none" w:sz="0" w:space="0" w:color="auto"/>
        <w:left w:val="none" w:sz="0" w:space="0" w:color="auto"/>
        <w:bottom w:val="none" w:sz="0" w:space="0" w:color="auto"/>
        <w:right w:val="none" w:sz="0" w:space="0" w:color="auto"/>
      </w:divBdr>
    </w:div>
    <w:div w:id="1927491986">
      <w:bodyDiv w:val="1"/>
      <w:marLeft w:val="0"/>
      <w:marRight w:val="0"/>
      <w:marTop w:val="0"/>
      <w:marBottom w:val="0"/>
      <w:divBdr>
        <w:top w:val="none" w:sz="0" w:space="0" w:color="auto"/>
        <w:left w:val="none" w:sz="0" w:space="0" w:color="auto"/>
        <w:bottom w:val="none" w:sz="0" w:space="0" w:color="auto"/>
        <w:right w:val="none" w:sz="0" w:space="0" w:color="auto"/>
      </w:divBdr>
    </w:div>
    <w:div w:id="1974602099">
      <w:bodyDiv w:val="1"/>
      <w:marLeft w:val="0"/>
      <w:marRight w:val="0"/>
      <w:marTop w:val="0"/>
      <w:marBottom w:val="0"/>
      <w:divBdr>
        <w:top w:val="none" w:sz="0" w:space="0" w:color="auto"/>
        <w:left w:val="none" w:sz="0" w:space="0" w:color="auto"/>
        <w:bottom w:val="none" w:sz="0" w:space="0" w:color="auto"/>
        <w:right w:val="none" w:sz="0" w:space="0" w:color="auto"/>
      </w:divBdr>
    </w:div>
    <w:div w:id="2073499637">
      <w:bodyDiv w:val="1"/>
      <w:marLeft w:val="0"/>
      <w:marRight w:val="0"/>
      <w:marTop w:val="0"/>
      <w:marBottom w:val="0"/>
      <w:divBdr>
        <w:top w:val="none" w:sz="0" w:space="0" w:color="auto"/>
        <w:left w:val="none" w:sz="0" w:space="0" w:color="auto"/>
        <w:bottom w:val="none" w:sz="0" w:space="0" w:color="auto"/>
        <w:right w:val="none" w:sz="0" w:space="0" w:color="auto"/>
      </w:divBdr>
    </w:div>
    <w:div w:id="20855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austlii.edu.au/cgi-bin/viewdoc/au/cases/cth/AICmr/2022/57.html?context=1;query=%22foia1982222%20s29%22;mask_pa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aic.gov.au/freedom-of-information/foi-reports/commissioner-initiated-investigation-into-the-department-of-home-affair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oaic.gov.au/freedom-of-information/information-commissioner-decisions-and-reports/foi-reports/commissioner-initiated-investigation-into-the-department-of-home-affairs" TargetMode="External"/><Relationship Id="rId2" Type="http://schemas.openxmlformats.org/officeDocument/2006/relationships/hyperlink" Target="https://www.comcare.gov.au/about/contact/access-to-information" TargetMode="External"/><Relationship Id="rId1" Type="http://schemas.openxmlformats.org/officeDocument/2006/relationships/hyperlink" Target="https://www.comcare.gov.au/about/contact/access-to-information" TargetMode="External"/><Relationship Id="rId4" Type="http://schemas.openxmlformats.org/officeDocument/2006/relationships/hyperlink" Target="https://www.oaic.gov.au/freedom-of-information/information-commissioner-decisions-and-reports/freedom-of-information-investigation-outco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E0D8DA"/>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85C2-F4B2-4E3B-B415-0927FB30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13550</Words>
  <Characters>77239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90608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Nicolaou</dc:creator>
  <cp:lastModifiedBy>ENGLISH,Carl</cp:lastModifiedBy>
  <cp:revision>2</cp:revision>
  <cp:lastPrinted>2023-09-14T06:48:00Z</cp:lastPrinted>
  <dcterms:created xsi:type="dcterms:W3CDTF">2025-04-16T00:52:00Z</dcterms:created>
  <dcterms:modified xsi:type="dcterms:W3CDTF">2025-04-16T00:52:00Z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710140882</vt:i4>
  </property>
  <property fmtid="{D5CDD505-2E9C-101B-9397-08002B2CF9AE}" pid="3" name="MSIP_Label_79d889eb-932f-4752-8739-64d25806ef64_Enabled">
    <vt:lpwstr>true</vt:lpwstr>
  </property>
  <property fmtid="{D5CDD505-2E9C-101B-9397-08002B2CF9AE}" pid="4" name="MSIP_Label_79d889eb-932f-4752-8739-64d25806ef64_SetDate">
    <vt:lpwstr>2022-07-05T00:23:54Z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1bedb664-080d-4a1d-baeb-b79b2191386f</vt:lpwstr>
  </property>
  <property fmtid="{D5CDD505-2E9C-101B-9397-08002B2CF9AE}" pid="9" name="MSIP_Label_79d889eb-932f-4752-8739-64d25806ef64_ContentBits">
    <vt:lpwstr>0</vt:lpwstr>
  </property>
</Properties>
</file>